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736" w:rsidRPr="00512676" w:rsidRDefault="00814C53" w:rsidP="00C8699C">
      <w:pPr>
        <w:pStyle w:val="Nzev"/>
        <w:rPr>
          <w:sz w:val="52"/>
          <w:szCs w:val="52"/>
        </w:rPr>
      </w:pPr>
      <w:r w:rsidRPr="00512676">
        <w:rPr>
          <w:sz w:val="52"/>
          <w:szCs w:val="52"/>
        </w:rPr>
        <w:t>Prázdn</w:t>
      </w:r>
      <w:bookmarkStart w:id="0" w:name="_GoBack"/>
      <w:bookmarkEnd w:id="0"/>
      <w:r w:rsidRPr="00512676">
        <w:rPr>
          <w:sz w:val="52"/>
          <w:szCs w:val="52"/>
        </w:rPr>
        <w:t>inové měsíce přinesly vláhu, ale se suchem se neloučíme</w:t>
      </w:r>
    </w:p>
    <w:p w:rsidR="002A3886" w:rsidRPr="00D36F8A" w:rsidRDefault="00D36F8A" w:rsidP="00512676">
      <w:pPr>
        <w:rPr>
          <w:sz w:val="22"/>
          <w:szCs w:val="20"/>
        </w:rPr>
      </w:pPr>
      <w:r w:rsidRPr="00D36F8A">
        <w:rPr>
          <w:sz w:val="22"/>
          <w:szCs w:val="20"/>
        </w:rPr>
        <w:t>V průběhu července 2020 převažovalo poněkud chladnější</w:t>
      </w:r>
      <w:r w:rsidR="002A3886" w:rsidRPr="00D36F8A">
        <w:rPr>
          <w:sz w:val="22"/>
          <w:szCs w:val="20"/>
        </w:rPr>
        <w:t xml:space="preserve"> </w:t>
      </w:r>
      <w:r w:rsidRPr="00D36F8A">
        <w:rPr>
          <w:sz w:val="22"/>
          <w:szCs w:val="20"/>
        </w:rPr>
        <w:t>a zejména vlhčí počasí</w:t>
      </w:r>
      <w:r w:rsidR="002A3886" w:rsidRPr="00D36F8A">
        <w:rPr>
          <w:sz w:val="22"/>
          <w:szCs w:val="20"/>
        </w:rPr>
        <w:t xml:space="preserve">. </w:t>
      </w:r>
      <w:r w:rsidR="009E77E5" w:rsidRPr="00D36F8A">
        <w:rPr>
          <w:sz w:val="22"/>
          <w:szCs w:val="20"/>
        </w:rPr>
        <w:t xml:space="preserve">Z měření vyplývá, že byl </w:t>
      </w:r>
      <w:r w:rsidR="00BE51D8">
        <w:rPr>
          <w:sz w:val="22"/>
          <w:szCs w:val="20"/>
        </w:rPr>
        <w:t xml:space="preserve"> červenec </w:t>
      </w:r>
      <w:r w:rsidR="009E77E5" w:rsidRPr="00D36F8A">
        <w:rPr>
          <w:sz w:val="22"/>
          <w:szCs w:val="20"/>
        </w:rPr>
        <w:t>teplotně normální</w:t>
      </w:r>
      <w:r w:rsidR="00814C53" w:rsidRPr="00D36F8A">
        <w:rPr>
          <w:sz w:val="22"/>
          <w:szCs w:val="20"/>
        </w:rPr>
        <w:t xml:space="preserve"> a zároveň druhý nejchladnější za posledních deset let. </w:t>
      </w:r>
      <w:r w:rsidR="002A3886" w:rsidRPr="00D36F8A">
        <w:rPr>
          <w:sz w:val="22"/>
          <w:szCs w:val="20"/>
        </w:rPr>
        <w:t xml:space="preserve">Oproti rokům 2015, 2018 a 2019 byl výrazně odlišný, i co se do počtu tropických dnů týče. </w:t>
      </w:r>
      <w:r w:rsidR="00814C53" w:rsidRPr="00D36F8A">
        <w:rPr>
          <w:sz w:val="22"/>
          <w:szCs w:val="20"/>
        </w:rPr>
        <w:t xml:space="preserve"> Srážkově to byl </w:t>
      </w:r>
      <w:r w:rsidR="002A3886" w:rsidRPr="00D36F8A">
        <w:rPr>
          <w:sz w:val="22"/>
          <w:szCs w:val="20"/>
        </w:rPr>
        <w:t xml:space="preserve">měsíc podnormální (77 % normálu). </w:t>
      </w:r>
      <w:r w:rsidR="00814C53" w:rsidRPr="00D36F8A">
        <w:rPr>
          <w:sz w:val="22"/>
          <w:szCs w:val="20"/>
        </w:rPr>
        <w:t xml:space="preserve">To, </w:t>
      </w:r>
      <w:r w:rsidR="002A3886" w:rsidRPr="00D36F8A">
        <w:rPr>
          <w:sz w:val="22"/>
          <w:szCs w:val="20"/>
        </w:rPr>
        <w:t xml:space="preserve">co velmi pomohlo přírodě a udržení vláhy v půdě, </w:t>
      </w:r>
      <w:r w:rsidR="00814C53" w:rsidRPr="00D36F8A">
        <w:rPr>
          <w:sz w:val="22"/>
          <w:szCs w:val="20"/>
        </w:rPr>
        <w:t>byly především teploty. Nedocházelo k tak mohutnému výparu a půdní sucho se vyskytovalo na malé části území. Hrozbu předs</w:t>
      </w:r>
      <w:r w:rsidR="002A3886" w:rsidRPr="00D36F8A">
        <w:rPr>
          <w:sz w:val="22"/>
          <w:szCs w:val="20"/>
        </w:rPr>
        <w:t>tavovalo právě lokální zasažení. Oblastem</w:t>
      </w:r>
      <w:r w:rsidR="00814C53" w:rsidRPr="00D36F8A">
        <w:rPr>
          <w:sz w:val="22"/>
          <w:szCs w:val="20"/>
        </w:rPr>
        <w:t xml:space="preserve"> </w:t>
      </w:r>
      <w:r w:rsidR="002A3886" w:rsidRPr="00D36F8A">
        <w:rPr>
          <w:sz w:val="22"/>
          <w:szCs w:val="20"/>
        </w:rPr>
        <w:t>středních a severních Čech (Ústecko, Litoměřicko a Lounsko)</w:t>
      </w:r>
      <w:r w:rsidR="00814C53" w:rsidRPr="00D36F8A">
        <w:rPr>
          <w:sz w:val="22"/>
          <w:szCs w:val="20"/>
        </w:rPr>
        <w:t>, spolu s částí ji</w:t>
      </w:r>
      <w:r w:rsidR="002A3886" w:rsidRPr="00D36F8A">
        <w:rPr>
          <w:sz w:val="22"/>
          <w:szCs w:val="20"/>
        </w:rPr>
        <w:t>žní Moravy, se dostalo minimálně srážek, deficit půdní vláhy zde narůstal a zemědělské sucho se prohlubovalo.</w:t>
      </w:r>
      <w:r w:rsidR="00814C53" w:rsidRPr="00D36F8A">
        <w:rPr>
          <w:sz w:val="22"/>
          <w:szCs w:val="20"/>
        </w:rPr>
        <w:t xml:space="preserve"> </w:t>
      </w:r>
    </w:p>
    <w:p w:rsidR="00C37660" w:rsidRDefault="00814C53" w:rsidP="00512676">
      <w:pPr>
        <w:rPr>
          <w:sz w:val="22"/>
          <w:szCs w:val="20"/>
        </w:rPr>
      </w:pPr>
      <w:r w:rsidRPr="00D36F8A">
        <w:rPr>
          <w:sz w:val="22"/>
          <w:szCs w:val="20"/>
        </w:rPr>
        <w:t>Ve východní</w:t>
      </w:r>
      <w:r w:rsidR="009C3FA1" w:rsidRPr="00D36F8A">
        <w:rPr>
          <w:sz w:val="22"/>
          <w:szCs w:val="20"/>
        </w:rPr>
        <w:t xml:space="preserve"> a jihozápadní</w:t>
      </w:r>
      <w:r w:rsidRPr="00D36F8A">
        <w:rPr>
          <w:sz w:val="22"/>
          <w:szCs w:val="20"/>
        </w:rPr>
        <w:t xml:space="preserve"> části země se objevilo na přelomu července a srpna mnoho srážek. Část území tedy trpěla vyššími teplotami a rozšiřujícím se půdním suchem a část podmáčenou půdou</w:t>
      </w:r>
      <w:r w:rsidR="00512676" w:rsidRPr="00D36F8A">
        <w:rPr>
          <w:sz w:val="22"/>
          <w:szCs w:val="20"/>
        </w:rPr>
        <w:t xml:space="preserve">. </w:t>
      </w:r>
      <w:r w:rsidR="009C3FA1" w:rsidRPr="00D36F8A">
        <w:rPr>
          <w:sz w:val="22"/>
          <w:szCs w:val="20"/>
        </w:rPr>
        <w:t xml:space="preserve">Srpen byl teplotně nadnormální a stal se šestým nejteplejším od roku 1961, zároveň byl i srážkově nadnormální, i přesto se zemědělské sucho </w:t>
      </w:r>
      <w:r w:rsidR="00512676" w:rsidRPr="00D36F8A">
        <w:rPr>
          <w:sz w:val="22"/>
          <w:szCs w:val="20"/>
        </w:rPr>
        <w:t xml:space="preserve">rozšířilo během </w:t>
      </w:r>
      <w:r w:rsidR="009C3FA1" w:rsidRPr="00D36F8A">
        <w:rPr>
          <w:sz w:val="22"/>
          <w:szCs w:val="20"/>
        </w:rPr>
        <w:t>srpna na větší část území. Byla místa, kde napadlo okolo 130 mm srážek (Moravskoslezský kraj) a musely být odloženy</w:t>
      </w:r>
      <w:r w:rsidR="00512676" w:rsidRPr="00D36F8A">
        <w:rPr>
          <w:sz w:val="22"/>
          <w:szCs w:val="20"/>
        </w:rPr>
        <w:t xml:space="preserve"> žně. Zemědělská technika se pr</w:t>
      </w:r>
      <w:r w:rsidR="009306BC">
        <w:rPr>
          <w:sz w:val="22"/>
          <w:szCs w:val="20"/>
        </w:rPr>
        <w:t>opadala a práce na polích musely být zastaveny</w:t>
      </w:r>
      <w:r w:rsidR="00512676" w:rsidRPr="00D36F8A">
        <w:rPr>
          <w:sz w:val="22"/>
          <w:szCs w:val="20"/>
        </w:rPr>
        <w:t xml:space="preserve">. </w:t>
      </w:r>
      <w:r w:rsidR="009C3FA1" w:rsidRPr="00D36F8A">
        <w:rPr>
          <w:sz w:val="22"/>
          <w:szCs w:val="20"/>
        </w:rPr>
        <w:t>Obdobně deštivo bylo i na Vysočině, v Pardubickém, Jihočeském, Plzeňském a Karlovarském kraji (přes 120 mm měsíčního úhrnu).</w:t>
      </w:r>
    </w:p>
    <w:p w:rsidR="00BE51D8" w:rsidRPr="00D36F8A" w:rsidRDefault="00D00246" w:rsidP="00512676">
      <w:pPr>
        <w:rPr>
          <w:sz w:val="22"/>
          <w:szCs w:val="20"/>
        </w:rPr>
      </w:pPr>
      <w:r>
        <w:rPr>
          <w:sz w:val="22"/>
          <w:szCs w:val="20"/>
        </w:rPr>
        <w:t>Podrobnosti za jednotlivé prázdninové měsíce</w:t>
      </w:r>
      <w:r w:rsidR="00BE51D8">
        <w:rPr>
          <w:sz w:val="22"/>
          <w:szCs w:val="20"/>
        </w:rPr>
        <w:t xml:space="preserve"> </w:t>
      </w:r>
      <w:r w:rsidR="009306BC">
        <w:rPr>
          <w:sz w:val="22"/>
          <w:szCs w:val="20"/>
        </w:rPr>
        <w:t xml:space="preserve">naleznete </w:t>
      </w:r>
      <w:r w:rsidR="00BE51D8">
        <w:rPr>
          <w:sz w:val="22"/>
          <w:szCs w:val="20"/>
        </w:rPr>
        <w:t xml:space="preserve">v následujícím </w:t>
      </w:r>
      <w:r w:rsidR="009306BC">
        <w:rPr>
          <w:sz w:val="22"/>
          <w:szCs w:val="20"/>
        </w:rPr>
        <w:t>shrnutí.</w:t>
      </w:r>
    </w:p>
    <w:p w:rsidR="00512676" w:rsidRPr="00D36F8A" w:rsidRDefault="00512676">
      <w:pPr>
        <w:spacing w:line="259" w:lineRule="auto"/>
        <w:rPr>
          <w:sz w:val="22"/>
          <w:szCs w:val="20"/>
        </w:rPr>
      </w:pPr>
      <w:r w:rsidRPr="00D36F8A">
        <w:rPr>
          <w:sz w:val="22"/>
          <w:szCs w:val="20"/>
        </w:rPr>
        <w:br w:type="page"/>
      </w:r>
    </w:p>
    <w:p w:rsidR="004456B9" w:rsidRPr="008263E8" w:rsidRDefault="00512676" w:rsidP="00C37660">
      <w:pPr>
        <w:pStyle w:val="Nadpis1"/>
      </w:pPr>
      <w:r>
        <w:lastRenderedPageBreak/>
        <w:t>Souhrnná zpráva</w:t>
      </w:r>
    </w:p>
    <w:p w:rsidR="00512676" w:rsidRDefault="00512676" w:rsidP="00512676">
      <w:pPr>
        <w:pStyle w:val="Nadpis2"/>
      </w:pPr>
      <w:r>
        <w:t xml:space="preserve">Klimatologie </w:t>
      </w:r>
    </w:p>
    <w:p w:rsidR="00C0143F" w:rsidRDefault="00C0143F" w:rsidP="00C0143F">
      <w:pPr>
        <w:pStyle w:val="text"/>
      </w:pPr>
      <w:r w:rsidRPr="00C0143F">
        <w:t>Průměrná teplota prázdninových měsíců (červenec a srpen 2020) na území ČR byla 18,3 °C, což je o 0,7 °C více než normál 1981</w:t>
      </w:r>
      <w:r w:rsidR="009306BC">
        <w:t>–</w:t>
      </w:r>
      <w:r w:rsidRPr="00C0143F">
        <w:t>2010. V červenci dosáhla průměrná teplota vzduchu 17,7 °C (červenec byl o 0,1 °C chladn</w:t>
      </w:r>
      <w:r w:rsidR="009306BC">
        <w:t>ější než normál 1981–</w:t>
      </w:r>
      <w:r>
        <w:t xml:space="preserve">2010).  Sedmý měsíc roku 2020 byl tedy </w:t>
      </w:r>
      <w:r w:rsidRPr="00C0143F">
        <w:t>druhým nejchladnějším červencem za posledních 10 let. Výrazně teplejší byl srpen s průměrnou teplotou vzduchu 18,8 °C a odchylkou od normálu +1,5 °C. Prázdninové měsíce 2020</w:t>
      </w:r>
      <w:r>
        <w:t xml:space="preserve"> jako celek </w:t>
      </w:r>
      <w:r w:rsidRPr="00C0143F">
        <w:t>byly chladnější, než jsme si zvykli ve třech předešlých letech</w:t>
      </w:r>
      <w:r>
        <w:t>. V</w:t>
      </w:r>
      <w:r w:rsidRPr="00C0143F">
        <w:t> roce 2017 byla průměrná prázdninová teplota vzduchu 18,7 °C, v roce 2018 20,2 °C a v roce 2019 18,9 °C</w:t>
      </w:r>
      <w:r w:rsidR="002D5CE3">
        <w:t xml:space="preserve"> (obr. 1)</w:t>
      </w:r>
      <w:r w:rsidRPr="00C0143F">
        <w:t>.</w:t>
      </w:r>
    </w:p>
    <w:p w:rsidR="00F81E64" w:rsidRPr="00C0143F" w:rsidRDefault="00F81E64" w:rsidP="00F81E64">
      <w:pPr>
        <w:pStyle w:val="text"/>
      </w:pPr>
      <w:r>
        <w:rPr>
          <w:noProof/>
          <w:color w:val="1F497D"/>
          <w:lang w:eastAsia="cs-CZ"/>
        </w:rPr>
        <w:drawing>
          <wp:anchor distT="0" distB="0" distL="114300" distR="114300" simplePos="0" relativeHeight="251668992" behindDoc="0" locked="0" layoutInCell="1" allowOverlap="1" wp14:anchorId="223A8C7A" wp14:editId="3B2BF52B">
            <wp:simplePos x="0" y="0"/>
            <wp:positionH relativeFrom="margin">
              <wp:align>left</wp:align>
            </wp:positionH>
            <wp:positionV relativeFrom="paragraph">
              <wp:posOffset>266065</wp:posOffset>
            </wp:positionV>
            <wp:extent cx="5799455" cy="2838450"/>
            <wp:effectExtent l="0" t="0" r="0" b="0"/>
            <wp:wrapTopAndBottom/>
            <wp:docPr id="14" name="Obrázek 14" descr="cid:image001.png@01D68699.8E92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id:image001.png@01D68699.8E92771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9945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81E64" w:rsidRDefault="00F81E64" w:rsidP="00F81E64">
      <w:pPr>
        <w:pStyle w:val="text"/>
      </w:pPr>
    </w:p>
    <w:p w:rsidR="00F81E64" w:rsidRDefault="00F81E64" w:rsidP="00F81E64">
      <w:pPr>
        <w:pStyle w:val="Titulek"/>
      </w:pPr>
      <w:r>
        <w:t>Obr.</w:t>
      </w:r>
      <w:r w:rsidR="002D5CE3">
        <w:t xml:space="preserve"> 1</w:t>
      </w:r>
      <w:r>
        <w:t xml:space="preserve"> Průběh průměrné denní teploty vzduchu na území ČR v červenci a srpnu 2</w:t>
      </w:r>
      <w:r w:rsidR="009306BC">
        <w:t>020 ve srovnání s normálem 1981–</w:t>
      </w:r>
      <w:r>
        <w:t>2010.</w:t>
      </w:r>
    </w:p>
    <w:p w:rsidR="00F81E64" w:rsidRPr="00C0143F" w:rsidRDefault="00F81E64" w:rsidP="00C0143F">
      <w:pPr>
        <w:pStyle w:val="text"/>
      </w:pPr>
    </w:p>
    <w:p w:rsidR="00C0143F" w:rsidRDefault="00C0143F" w:rsidP="00C0143F">
      <w:pPr>
        <w:pStyle w:val="text"/>
      </w:pPr>
      <w:r w:rsidRPr="00C0143F">
        <w:t>V letoš</w:t>
      </w:r>
      <w:r>
        <w:t xml:space="preserve">ním červenci a srpnu byl nižší </w:t>
      </w:r>
      <w:r w:rsidRPr="00C0143F">
        <w:t>výskyt tropických dní než v předchozích letech</w:t>
      </w:r>
      <w:r w:rsidR="002D5CE3">
        <w:t xml:space="preserve"> (obr. 2)</w:t>
      </w:r>
      <w:r w:rsidRPr="00C0143F">
        <w:t>. Tropický den byl alespoň na jedné stanici ČHMÚ zaznamenán v 28 dnech letošních prázdnin (11x červenec a 17x srpen). V předchozích třech letech se o prázdninách vyskytlo tropických</w:t>
      </w:r>
      <w:r>
        <w:t xml:space="preserve"> dní na našem území o něco více.  N</w:t>
      </w:r>
      <w:r w:rsidRPr="00C0143F">
        <w:t>ejvíce to bylo v roce 2018 (44 tropických dní), v letech 2017 a 2019 to bylo 32 tropických dní. Tropická noc se alespoň na jedné stanici vyskytla letos o prázdninách pouze v 15 dnech (4x červenec, 11x srpen). Na více než jedné stani</w:t>
      </w:r>
      <w:r w:rsidR="00575BB6">
        <w:t>ci</w:t>
      </w:r>
      <w:r w:rsidRPr="00C0143F">
        <w:t xml:space="preserve"> byla tropická noc zaznamenána pouze 7x. </w:t>
      </w:r>
    </w:p>
    <w:p w:rsidR="003405B4" w:rsidRPr="00C0143F" w:rsidRDefault="003405B4" w:rsidP="00C0143F">
      <w:pPr>
        <w:pStyle w:val="text"/>
      </w:pPr>
    </w:p>
    <w:p w:rsidR="00F81E64" w:rsidRDefault="00F81E64" w:rsidP="00F81E64">
      <w:pPr>
        <w:pStyle w:val="Titulek"/>
      </w:pPr>
    </w:p>
    <w:p w:rsidR="00F81E64" w:rsidRDefault="00F81E64" w:rsidP="00F81E64">
      <w:pPr>
        <w:pStyle w:val="Titulek"/>
      </w:pPr>
      <w:r w:rsidRPr="00AF6081">
        <w:rPr>
          <w:noProof/>
          <w:lang w:eastAsia="cs-CZ"/>
        </w:rPr>
        <w:drawing>
          <wp:anchor distT="0" distB="0" distL="114300" distR="114300" simplePos="0" relativeHeight="251671040" behindDoc="0" locked="0" layoutInCell="1" allowOverlap="1" wp14:anchorId="389EA212" wp14:editId="38BC58E5">
            <wp:simplePos x="0" y="0"/>
            <wp:positionH relativeFrom="margin">
              <wp:posOffset>2540</wp:posOffset>
            </wp:positionH>
            <wp:positionV relativeFrom="page">
              <wp:posOffset>1209675</wp:posOffset>
            </wp:positionV>
            <wp:extent cx="6479540" cy="3705860"/>
            <wp:effectExtent l="0" t="0" r="0" b="8890"/>
            <wp:wrapTopAndBottom/>
            <wp:docPr id="15" name="Obrázek 15" descr="C:\Users\user\AppData\Local\Microsoft\Windows\INetCache\Content.Outlook\SRFS8KSZ\tropy graf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Outlook\SRFS8KSZ\tropy graf (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3705860"/>
                    </a:xfrm>
                    <a:prstGeom prst="rect">
                      <a:avLst/>
                    </a:prstGeom>
                    <a:noFill/>
                    <a:ln>
                      <a:noFill/>
                    </a:ln>
                  </pic:spPr>
                </pic:pic>
              </a:graphicData>
            </a:graphic>
          </wp:anchor>
        </w:drawing>
      </w:r>
      <w:r>
        <w:t>Obr</w:t>
      </w:r>
      <w:r w:rsidR="002D5CE3">
        <w:t>. 2</w:t>
      </w:r>
      <w:r>
        <w:t xml:space="preserve"> P</w:t>
      </w:r>
      <w:r w:rsidR="009306BC">
        <w:t xml:space="preserve">očty tropických dnů od května do </w:t>
      </w:r>
      <w:r>
        <w:t>srpna v</w:t>
      </w:r>
      <w:r w:rsidR="009306BC">
        <w:t> </w:t>
      </w:r>
      <w:r>
        <w:t>letech</w:t>
      </w:r>
      <w:r w:rsidR="009306BC">
        <w:t>.</w:t>
      </w:r>
      <w:r>
        <w:t xml:space="preserve"> </w:t>
      </w:r>
    </w:p>
    <w:p w:rsidR="00C0143F" w:rsidRDefault="00C0143F" w:rsidP="00C0143F">
      <w:pPr>
        <w:pStyle w:val="text"/>
      </w:pPr>
      <w:r w:rsidRPr="00C0143F">
        <w:t>Za prázdniny (červenec a srpen 2020) spadlo v průměru na území ČR 171 mm srážek, což</w:t>
      </w:r>
      <w:r w:rsidR="009306BC">
        <w:t xml:space="preserve"> představuje 102 % normálu 1981–</w:t>
      </w:r>
      <w:r w:rsidRPr="00C0143F">
        <w:t xml:space="preserve">2010. </w:t>
      </w:r>
      <w:r w:rsidR="00575BB6">
        <w:t xml:space="preserve">Jedná se </w:t>
      </w:r>
      <w:r w:rsidRPr="00C0143F">
        <w:t>o nejdeštivější prázdniny od roku 2014, kdy na našem území spadlo 193 mm srážek. Více jak 120 % srážkového normá</w:t>
      </w:r>
      <w:r w:rsidR="009306BC">
        <w:t>lu 1981–</w:t>
      </w:r>
      <w:r w:rsidR="00575BB6">
        <w:t xml:space="preserve">2010 </w:t>
      </w:r>
      <w:proofErr w:type="gramStart"/>
      <w:r w:rsidR="00575BB6">
        <w:t>napršelo</w:t>
      </w:r>
      <w:proofErr w:type="gramEnd"/>
      <w:r w:rsidRPr="00C0143F">
        <w:t xml:space="preserve"> letos o prázdninách v krajích Vysočina a Moravskoslezský. Naopak méně než 80 % normálu představoval srážkový úhrn v Ústeckém a Libereckém kraji. </w:t>
      </w:r>
    </w:p>
    <w:p w:rsidR="003405B4" w:rsidRDefault="003405B4">
      <w:pPr>
        <w:spacing w:line="259" w:lineRule="auto"/>
        <w:rPr>
          <w:sz w:val="22"/>
          <w:szCs w:val="20"/>
        </w:rPr>
      </w:pPr>
      <w:r>
        <w:br w:type="page"/>
      </w:r>
    </w:p>
    <w:p w:rsidR="00512676" w:rsidRDefault="00512676" w:rsidP="00512676">
      <w:pPr>
        <w:pStyle w:val="Nadpis2"/>
      </w:pPr>
      <w:r>
        <w:lastRenderedPageBreak/>
        <w:t xml:space="preserve">Fenologie a biometeorologické aplikace </w:t>
      </w:r>
    </w:p>
    <w:p w:rsidR="00512676" w:rsidRDefault="00512676" w:rsidP="00512676">
      <w:pPr>
        <w:pStyle w:val="text"/>
      </w:pPr>
      <w:r w:rsidRPr="00C74A4B">
        <w:t xml:space="preserve">V roce </w:t>
      </w:r>
      <w:r w:rsidRPr="00D95151">
        <w:t>2019</w:t>
      </w:r>
      <w:r w:rsidRPr="00C74A4B">
        <w:t xml:space="preserve"> byla suchem </w:t>
      </w:r>
      <w:r w:rsidRPr="00D95151">
        <w:t>postižena převážná část republiky</w:t>
      </w:r>
      <w:r w:rsidRPr="00C74A4B">
        <w:t xml:space="preserve">, v roce </w:t>
      </w:r>
      <w:r w:rsidRPr="00D95151">
        <w:t>2020</w:t>
      </w:r>
      <w:r w:rsidRPr="00C74A4B">
        <w:t xml:space="preserve"> se jednalo zejména o </w:t>
      </w:r>
      <w:r w:rsidRPr="00D95151">
        <w:t>severozápadní Čechy a část jižní Moravy</w:t>
      </w:r>
      <w:r w:rsidRPr="00C74A4B">
        <w:t xml:space="preserve">. </w:t>
      </w:r>
    </w:p>
    <w:p w:rsidR="00512676" w:rsidRPr="00C74A4B" w:rsidRDefault="00512676" w:rsidP="00512676">
      <w:pPr>
        <w:pStyle w:val="text"/>
      </w:pPr>
      <w:r w:rsidRPr="00C74A4B">
        <w:t>Pro porovnání uvádíme oba dva roky</w:t>
      </w:r>
      <w:r>
        <w:t>, výsledky jsou uvedeny v hloubce 40 a 100 cm</w:t>
      </w:r>
      <w:r w:rsidR="002D5CE3">
        <w:t xml:space="preserve"> (obr. 3 a 4)</w:t>
      </w:r>
      <w:r w:rsidRPr="00C74A4B">
        <w:t xml:space="preserve">. </w:t>
      </w:r>
    </w:p>
    <w:p w:rsidR="00512676" w:rsidRDefault="00512676" w:rsidP="00512676">
      <w:pPr>
        <w:pStyle w:val="text"/>
      </w:pPr>
      <w:r w:rsidRPr="00C74A4B">
        <w:t>Změnu ve vývoji půdní vlhkosti v průběhu měsíce července a srpna ukazují následující mapy. Vzhledem k výskytu atmosférických srážek v průběhu léta, byla situace v letošním roce výrazně lepší ne</w:t>
      </w:r>
      <w:r>
        <w:t>ž</w:t>
      </w:r>
      <w:r w:rsidRPr="00C74A4B">
        <w:t xml:space="preserve"> v roce předcházejícím.</w:t>
      </w:r>
    </w:p>
    <w:p w:rsidR="00512676" w:rsidRDefault="00F81E64" w:rsidP="00512676">
      <w:r w:rsidRPr="00067579">
        <w:rPr>
          <w:rFonts w:ascii="Arial" w:hAnsi="Arial" w:cs="Arial"/>
          <w:noProof/>
          <w:lang w:eastAsia="cs-CZ"/>
        </w:rPr>
        <w:drawing>
          <wp:anchor distT="0" distB="0" distL="114300" distR="114300" simplePos="0" relativeHeight="251653632" behindDoc="0" locked="0" layoutInCell="1" allowOverlap="1">
            <wp:simplePos x="0" y="0"/>
            <wp:positionH relativeFrom="column">
              <wp:posOffset>50165</wp:posOffset>
            </wp:positionH>
            <wp:positionV relativeFrom="paragraph">
              <wp:posOffset>10795</wp:posOffset>
            </wp:positionV>
            <wp:extent cx="3486150" cy="2532380"/>
            <wp:effectExtent l="0" t="0" r="0" b="1270"/>
            <wp:wrapSquare wrapText="bothSides"/>
            <wp:docPr id="10" name="Obrázek 10" descr="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532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F81E64" w:rsidRDefault="00F81E64" w:rsidP="00512676">
      <w:pPr>
        <w:pStyle w:val="Titulek"/>
        <w:rPr>
          <w:i w:val="0"/>
          <w:iCs w:val="0"/>
          <w:color w:val="auto"/>
          <w:sz w:val="26"/>
          <w:szCs w:val="26"/>
        </w:rPr>
      </w:pPr>
    </w:p>
    <w:p w:rsidR="00512676" w:rsidRDefault="00D36F8A" w:rsidP="00512676">
      <w:pPr>
        <w:pStyle w:val="Titulek"/>
      </w:pPr>
      <w:r>
        <w:t>Obr.</w:t>
      </w:r>
      <w:r w:rsidR="002D5CE3">
        <w:t xml:space="preserve"> 3 </w:t>
      </w:r>
      <w:r>
        <w:t xml:space="preserve"> </w:t>
      </w:r>
      <w:r w:rsidR="00512676">
        <w:t>Míra ohrožení půdním suchem v hloubce 40 cm v roce 2020 a 2019</w:t>
      </w:r>
      <w:r w:rsidR="009306BC">
        <w:t>.</w:t>
      </w:r>
      <w:r w:rsidR="00512676">
        <w:t xml:space="preserve"> </w:t>
      </w:r>
    </w:p>
    <w:p w:rsidR="00512676" w:rsidRDefault="00F81E64" w:rsidP="00512676">
      <w:pPr>
        <w:jc w:val="both"/>
        <w:rPr>
          <w:rFonts w:ascii="Arial" w:hAnsi="Arial" w:cs="Arial"/>
        </w:rPr>
      </w:pPr>
      <w:r w:rsidRPr="00067579">
        <w:rPr>
          <w:rFonts w:ascii="Arial" w:hAnsi="Arial" w:cs="Arial"/>
          <w:noProof/>
          <w:lang w:eastAsia="cs-CZ"/>
        </w:rPr>
        <w:drawing>
          <wp:anchor distT="0" distB="0" distL="114300" distR="114300" simplePos="0" relativeHeight="251656704" behindDoc="0" locked="0" layoutInCell="1" allowOverlap="1">
            <wp:simplePos x="0" y="0"/>
            <wp:positionH relativeFrom="column">
              <wp:posOffset>69215</wp:posOffset>
            </wp:positionH>
            <wp:positionV relativeFrom="paragraph">
              <wp:posOffset>181610</wp:posOffset>
            </wp:positionV>
            <wp:extent cx="3543300" cy="2660650"/>
            <wp:effectExtent l="0" t="0" r="0" b="6350"/>
            <wp:wrapSquare wrapText="bothSides"/>
            <wp:docPr id="9" name="Obrázek 9" descr="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00" cy="266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F81E64" w:rsidRDefault="00F81E64" w:rsidP="00512676">
      <w:pPr>
        <w:pStyle w:val="Titulek"/>
        <w:rPr>
          <w:i w:val="0"/>
          <w:iCs w:val="0"/>
          <w:color w:val="auto"/>
          <w:sz w:val="26"/>
          <w:szCs w:val="26"/>
        </w:rPr>
      </w:pPr>
    </w:p>
    <w:p w:rsidR="00512676" w:rsidRDefault="00D36F8A" w:rsidP="00512676">
      <w:pPr>
        <w:pStyle w:val="Titulek"/>
      </w:pPr>
      <w:r>
        <w:t>Obr.</w:t>
      </w:r>
      <w:r w:rsidR="002D5CE3">
        <w:t xml:space="preserve"> 4 </w:t>
      </w:r>
      <w:r>
        <w:t xml:space="preserve"> </w:t>
      </w:r>
      <w:r w:rsidR="00512676">
        <w:t xml:space="preserve">Míra ohrožení půdním suchem v hloubce 100 cm v roce 2020 a 2019 </w:t>
      </w:r>
    </w:p>
    <w:p w:rsidR="00512676" w:rsidRDefault="00512676" w:rsidP="00512676">
      <w:pPr>
        <w:jc w:val="both"/>
        <w:rPr>
          <w:rFonts w:ascii="Arial" w:hAnsi="Arial" w:cs="Arial"/>
        </w:rPr>
      </w:pPr>
    </w:p>
    <w:p w:rsidR="00512676" w:rsidRDefault="00512676" w:rsidP="00512676">
      <w:pPr>
        <w:pStyle w:val="text"/>
      </w:pPr>
      <w:r>
        <w:t xml:space="preserve">V průběhu letních měsíců pokračoval </w:t>
      </w:r>
      <w:r w:rsidRPr="0062396A">
        <w:t xml:space="preserve">fenologický vývoj rostlin, ale vývojové změny již </w:t>
      </w:r>
      <w:r>
        <w:t xml:space="preserve">nebyly </w:t>
      </w:r>
      <w:r w:rsidRPr="0062396A">
        <w:t>tak výrazné jako v předchozích měsících.</w:t>
      </w:r>
      <w:r>
        <w:rPr>
          <w:sz w:val="32"/>
          <w:szCs w:val="32"/>
        </w:rPr>
        <w:t xml:space="preserve"> </w:t>
      </w:r>
      <w:r w:rsidRPr="00D83D09">
        <w:t>Z pylových alergenů</w:t>
      </w:r>
      <w:r>
        <w:t xml:space="preserve"> kvetla v první polovině července lípa srdčitá </w:t>
      </w:r>
      <w:r w:rsidRPr="002D5CE3">
        <w:t>(obr.</w:t>
      </w:r>
      <w:r w:rsidR="002D5CE3">
        <w:t xml:space="preserve"> 5</w:t>
      </w:r>
      <w:r w:rsidRPr="002D5CE3">
        <w:t>),</w:t>
      </w:r>
      <w:r>
        <w:t xml:space="preserve"> odchylky od průměrného data nástupu se pohybovaly v rozmezí -4 až +8 dní </w:t>
      </w:r>
      <w:r w:rsidRPr="002D5CE3">
        <w:t xml:space="preserve">(obr. </w:t>
      </w:r>
      <w:r w:rsidR="002D5CE3">
        <w:t>6</w:t>
      </w:r>
      <w:r w:rsidRPr="002D5CE3">
        <w:t>).</w:t>
      </w:r>
      <w:r>
        <w:t xml:space="preserve"> </w:t>
      </w:r>
    </w:p>
    <w:p w:rsidR="00512676" w:rsidRDefault="00512676" w:rsidP="00512676">
      <w:pPr>
        <w:jc w:val="both"/>
        <w:rPr>
          <w:rFonts w:ascii="Arial" w:hAnsi="Arial" w:cs="Arial"/>
        </w:rPr>
      </w:pPr>
      <w:r>
        <w:rPr>
          <w:rFonts w:ascii="Arial" w:hAnsi="Arial" w:cs="Arial"/>
          <w:noProof/>
          <w:lang w:eastAsia="cs-CZ"/>
        </w:rPr>
        <w:drawing>
          <wp:anchor distT="0" distB="0" distL="114300" distR="114300" simplePos="0" relativeHeight="251657728" behindDoc="0" locked="0" layoutInCell="1" allowOverlap="1">
            <wp:simplePos x="0" y="0"/>
            <wp:positionH relativeFrom="margin">
              <wp:align>left</wp:align>
            </wp:positionH>
            <wp:positionV relativeFrom="paragraph">
              <wp:posOffset>74295</wp:posOffset>
            </wp:positionV>
            <wp:extent cx="3950970" cy="2790825"/>
            <wp:effectExtent l="0" t="0" r="0" b="9525"/>
            <wp:wrapSquare wrapText="bothSides"/>
            <wp:docPr id="8" name="Obrázek 8" descr="O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97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r w:rsidRPr="00D83D09">
        <w:rPr>
          <w:rFonts w:ascii="Arial" w:hAnsi="Arial" w:cs="Arial"/>
        </w:rPr>
        <w:t xml:space="preserve"> </w:t>
      </w: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F81E64" w:rsidRDefault="00F81E64" w:rsidP="003405B4">
      <w:pPr>
        <w:pStyle w:val="Titulek"/>
        <w:rPr>
          <w:i w:val="0"/>
          <w:iCs w:val="0"/>
          <w:color w:val="auto"/>
          <w:sz w:val="26"/>
          <w:szCs w:val="26"/>
        </w:rPr>
      </w:pPr>
    </w:p>
    <w:p w:rsidR="00F81E64" w:rsidRDefault="00F81E64" w:rsidP="003405B4">
      <w:pPr>
        <w:pStyle w:val="Titulek"/>
      </w:pPr>
    </w:p>
    <w:p w:rsidR="00512676" w:rsidRDefault="00D36F8A" w:rsidP="003405B4">
      <w:pPr>
        <w:pStyle w:val="Titulek"/>
      </w:pPr>
      <w:r>
        <w:t>Obr.</w:t>
      </w:r>
      <w:r w:rsidR="002D5CE3">
        <w:t xml:space="preserve"> 5 </w:t>
      </w:r>
      <w:r>
        <w:t xml:space="preserve"> </w:t>
      </w:r>
      <w:r w:rsidR="00512676">
        <w:t>Počátek kvetení lípy srdčité v roce 2020</w:t>
      </w:r>
      <w:r w:rsidR="009306BC">
        <w:t>.</w:t>
      </w:r>
    </w:p>
    <w:p w:rsidR="00512676" w:rsidRDefault="00F81E64" w:rsidP="00512676">
      <w:pPr>
        <w:jc w:val="both"/>
        <w:rPr>
          <w:rFonts w:ascii="Arial" w:hAnsi="Arial" w:cs="Arial"/>
        </w:rPr>
      </w:pPr>
      <w:r w:rsidRPr="00C74A4B">
        <w:rPr>
          <w:rFonts w:ascii="Arial" w:hAnsi="Arial" w:cs="Arial"/>
          <w:noProof/>
          <w:lang w:eastAsia="cs-CZ"/>
        </w:rPr>
        <w:drawing>
          <wp:anchor distT="0" distB="0" distL="114300" distR="114300" simplePos="0" relativeHeight="251658752" behindDoc="0" locked="0" layoutInCell="1" allowOverlap="1">
            <wp:simplePos x="0" y="0"/>
            <wp:positionH relativeFrom="margin">
              <wp:align>left</wp:align>
            </wp:positionH>
            <wp:positionV relativeFrom="paragraph">
              <wp:posOffset>205105</wp:posOffset>
            </wp:positionV>
            <wp:extent cx="3971925" cy="2819400"/>
            <wp:effectExtent l="0" t="0" r="9525"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92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2676" w:rsidRDefault="00512676" w:rsidP="00512676">
      <w:pPr>
        <w:jc w:val="both"/>
        <w:rPr>
          <w:rFonts w:ascii="Arial" w:hAnsi="Arial" w:cs="Arial"/>
        </w:rPr>
      </w:pPr>
      <w:r>
        <w:rPr>
          <w:rFonts w:ascii="Arial" w:hAnsi="Arial" w:cs="Arial"/>
        </w:rPr>
        <w:t xml:space="preserve">  </w:t>
      </w: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F81E64" w:rsidRDefault="00F81E64" w:rsidP="00512676">
      <w:pPr>
        <w:pStyle w:val="Titulek"/>
        <w:rPr>
          <w:i w:val="0"/>
          <w:iCs w:val="0"/>
          <w:color w:val="auto"/>
          <w:sz w:val="26"/>
          <w:szCs w:val="26"/>
        </w:rPr>
      </w:pPr>
    </w:p>
    <w:p w:rsidR="00512676" w:rsidRDefault="00D36F8A" w:rsidP="00512676">
      <w:pPr>
        <w:pStyle w:val="Titulek"/>
      </w:pPr>
      <w:r>
        <w:t>Obr.</w:t>
      </w:r>
      <w:r w:rsidR="002D5CE3">
        <w:t xml:space="preserve"> 6 </w:t>
      </w:r>
      <w:r>
        <w:t xml:space="preserve"> </w:t>
      </w:r>
      <w:r w:rsidR="00512676">
        <w:t>Počátek kvetení lípy srdčité v roce 2020 – odchylky od průměru 1991–2019</w:t>
      </w:r>
      <w:r w:rsidR="009306BC">
        <w:t>.</w:t>
      </w:r>
    </w:p>
    <w:p w:rsidR="00512676" w:rsidRDefault="00512676" w:rsidP="00512676">
      <w:pPr>
        <w:pStyle w:val="text"/>
      </w:pPr>
      <w:r>
        <w:lastRenderedPageBreak/>
        <w:t>V první polovině července začala sklizeň obilovin (např. v jižních Čechách začala sklizeň ječmene ozimého). Řepka ozimá a pšenice ozimá přech</w:t>
      </w:r>
      <w:r w:rsidR="00D36F8A">
        <w:t xml:space="preserve">ázely do stádia plné zralosti. </w:t>
      </w:r>
      <w:r>
        <w:t xml:space="preserve">Postupně začaly dozrávat meruňky, broskvoně, rybíz, třešně, brusnice borůvka a bez hroznatý. </w:t>
      </w:r>
    </w:p>
    <w:p w:rsidR="00512676" w:rsidRPr="00067579" w:rsidRDefault="00512676" w:rsidP="00512676">
      <w:pPr>
        <w:pStyle w:val="Vrazncitt"/>
      </w:pPr>
      <w:r w:rsidRPr="00067579">
        <w:t xml:space="preserve">V jednotlivých lokalitách probíhala </w:t>
      </w:r>
      <w:proofErr w:type="spellStart"/>
      <w:r w:rsidRPr="00067579">
        <w:t>otavoseč</w:t>
      </w:r>
      <w:proofErr w:type="spellEnd"/>
      <w:r w:rsidRPr="00067579">
        <w:t xml:space="preserve">. V roce 2019 </w:t>
      </w:r>
      <w:proofErr w:type="spellStart"/>
      <w:r w:rsidRPr="00067579">
        <w:t>otavoseč</w:t>
      </w:r>
      <w:proofErr w:type="spellEnd"/>
      <w:r w:rsidRPr="00067579">
        <w:t xml:space="preserve"> téměř vůbec neprobíhala. Sklizeň některých plodin byla ohrožena velkými úhrny srážek na přelomu července a srpna</w:t>
      </w:r>
      <w:r>
        <w:t xml:space="preserve"> 2020</w:t>
      </w:r>
      <w:r w:rsidRPr="00067579">
        <w:t>. Podmáčená půda znemožnila zemědělské technice práci na polích.</w:t>
      </w:r>
    </w:p>
    <w:p w:rsidR="00512676" w:rsidRPr="00512676" w:rsidRDefault="00512676" w:rsidP="00512676">
      <w:pPr>
        <w:jc w:val="both"/>
        <w:rPr>
          <w:rFonts w:ascii="Arial" w:hAnsi="Arial" w:cs="Arial"/>
        </w:rPr>
      </w:pPr>
      <w:r>
        <w:rPr>
          <w:rFonts w:ascii="Arial" w:hAnsi="Arial" w:cs="Arial"/>
        </w:rPr>
        <w:t xml:space="preserve"> </w:t>
      </w:r>
      <w:r>
        <w:t xml:space="preserve">Třezalka tečkovaná, která začala kvést na konci června, byla stále v plném květu. </w:t>
      </w:r>
    </w:p>
    <w:p w:rsidR="00512676" w:rsidRDefault="00512676" w:rsidP="00512676">
      <w:pPr>
        <w:pStyle w:val="text"/>
      </w:pPr>
      <w:r>
        <w:t xml:space="preserve">Ve druhé polovině července přecházely do stádia fruktifikace bez černý, svída krvavá, trnovník akát a lípa srdčitá. V červenci probíhala </w:t>
      </w:r>
      <w:proofErr w:type="spellStart"/>
      <w:r>
        <w:t>butonizace</w:t>
      </w:r>
      <w:proofErr w:type="spellEnd"/>
      <w:r>
        <w:t xml:space="preserve"> rákosu obecného a v průběhu srpna začal postupně v jednotlivých lokalitách kvést. </w:t>
      </w:r>
    </w:p>
    <w:p w:rsidR="00512676" w:rsidRDefault="00512676" w:rsidP="00512676">
      <w:pPr>
        <w:pStyle w:val="text"/>
      </w:pPr>
      <w:r>
        <w:t xml:space="preserve">Na většině území v průběhu letních měsíců kvetla vrbka úzkolistá a i nadále pokračovalo dřevnatění výhonů (tj. výhon ve spodní části dřevnatí a ztrácí svůj bylinný charakter) u jednotlivých dřevin. </w:t>
      </w:r>
    </w:p>
    <w:p w:rsidR="00512676" w:rsidRPr="00512676" w:rsidRDefault="00512676" w:rsidP="00512676">
      <w:pPr>
        <w:pStyle w:val="Vrazncitt"/>
      </w:pPr>
      <w:r w:rsidRPr="00512676">
        <w:t>V srpnu postupně začaly dozrávat jeřabiny a bez černý. V letošním roce bylo zaznamenáno u obou těchto rostlinných druhů abnormální množství plodů.</w:t>
      </w:r>
    </w:p>
    <w:p w:rsidR="00512676" w:rsidRDefault="00512676" w:rsidP="00512676">
      <w:pPr>
        <w:pStyle w:val="text"/>
      </w:pPr>
      <w:r>
        <w:t>Na konci srpna začala sklizeň chmele, dozrávaly rané odrůdy révy vinné, odumírala nať brambor, dozrávaly plody třezalky a svídy krvavé a začaly kvést ocúny.</w:t>
      </w:r>
    </w:p>
    <w:p w:rsidR="00512676" w:rsidRDefault="00512676" w:rsidP="00512676">
      <w:pPr>
        <w:pStyle w:val="text"/>
      </w:pPr>
      <w:r>
        <w:t xml:space="preserve">Předčasné žloutnutí listů v letních měsících bylo v roce 2020 zaznamenáno pouze na několika lokalitách (např. v severozápadních Čechách), na rozdíl od roku 2019 kdy bylo předčasné žloutnutí listů výrazně plošně rozšířenější.   </w:t>
      </w:r>
    </w:p>
    <w:p w:rsidR="00512676" w:rsidRPr="00512676" w:rsidRDefault="00512676" w:rsidP="00512676">
      <w:pPr>
        <w:pStyle w:val="text"/>
      </w:pPr>
      <w:r>
        <w:t>V</w:t>
      </w:r>
      <w:r w:rsidRPr="00CF1910">
        <w:t xml:space="preserve">ývoj vegetace </w:t>
      </w:r>
      <w:r>
        <w:t xml:space="preserve">byl i </w:t>
      </w:r>
      <w:r w:rsidRPr="00CF1910">
        <w:t>v</w:t>
      </w:r>
      <w:r>
        <w:t> </w:t>
      </w:r>
      <w:r w:rsidRPr="00CF1910">
        <w:t>prů</w:t>
      </w:r>
      <w:r>
        <w:t xml:space="preserve">běhu </w:t>
      </w:r>
      <w:r w:rsidRPr="00CF1910">
        <w:t xml:space="preserve">měsíců </w:t>
      </w:r>
      <w:r>
        <w:t xml:space="preserve">července a srpna pestrý, </w:t>
      </w:r>
      <w:r w:rsidRPr="00CF1910">
        <w:t xml:space="preserve">většina fází </w:t>
      </w:r>
      <w:r>
        <w:t>nastoupila v obvyklém časovém termínu.</w:t>
      </w:r>
      <w:r w:rsidRPr="00CF1910">
        <w:t xml:space="preserve"> </w:t>
      </w:r>
      <w:r>
        <w:t xml:space="preserve">Pro srovnání uvádíme počátek kvetení třezalky a vrbky v roce 2019 a 2020 </w:t>
      </w:r>
      <w:r w:rsidRPr="002D5CE3">
        <w:t xml:space="preserve">(obr. </w:t>
      </w:r>
      <w:r w:rsidR="002D5CE3">
        <w:t>7</w:t>
      </w:r>
      <w:r w:rsidRPr="002D5CE3">
        <w:t>).</w:t>
      </w:r>
    </w:p>
    <w:p w:rsidR="00512676" w:rsidRDefault="00512676" w:rsidP="00512676">
      <w:pPr>
        <w:jc w:val="both"/>
        <w:rPr>
          <w:rFonts w:ascii="Arial" w:hAnsi="Arial" w:cs="Arial"/>
        </w:rPr>
      </w:pPr>
      <w:r w:rsidRPr="00D32BA6">
        <w:rPr>
          <w:noProof/>
          <w:lang w:eastAsia="cs-CZ"/>
        </w:rPr>
        <w:lastRenderedPageBreak/>
        <w:drawing>
          <wp:anchor distT="0" distB="0" distL="114300" distR="114300" simplePos="0" relativeHeight="251660800" behindDoc="0" locked="0" layoutInCell="1" allowOverlap="1">
            <wp:simplePos x="0" y="0"/>
            <wp:positionH relativeFrom="column">
              <wp:posOffset>2540</wp:posOffset>
            </wp:positionH>
            <wp:positionV relativeFrom="paragraph">
              <wp:posOffset>95250</wp:posOffset>
            </wp:positionV>
            <wp:extent cx="4183380" cy="2667000"/>
            <wp:effectExtent l="0" t="0" r="7620" b="0"/>
            <wp:wrapSquare wrapText="bothSides"/>
            <wp:docPr id="2"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512676" w:rsidRDefault="00512676" w:rsidP="00512676">
      <w:pPr>
        <w:jc w:val="both"/>
        <w:rPr>
          <w:noProof/>
        </w:rPr>
      </w:pPr>
      <w:r w:rsidRPr="00DE1738">
        <w:rPr>
          <w:noProof/>
        </w:rPr>
        <w:t xml:space="preserve"> </w:t>
      </w:r>
    </w:p>
    <w:p w:rsidR="00512676" w:rsidRDefault="00512676" w:rsidP="00512676">
      <w:pPr>
        <w:jc w:val="both"/>
        <w:rPr>
          <w:noProof/>
        </w:rPr>
      </w:pPr>
    </w:p>
    <w:p w:rsidR="00512676" w:rsidRDefault="00512676" w:rsidP="00512676">
      <w:pPr>
        <w:jc w:val="both"/>
        <w:rPr>
          <w:noProof/>
        </w:rPr>
      </w:pPr>
    </w:p>
    <w:p w:rsidR="00512676" w:rsidRDefault="00512676" w:rsidP="00512676">
      <w:pPr>
        <w:jc w:val="both"/>
        <w:rPr>
          <w:rFonts w:ascii="Arial" w:hAnsi="Arial" w:cs="Arial"/>
          <w:noProof/>
        </w:rPr>
      </w:pPr>
    </w:p>
    <w:p w:rsidR="00512676" w:rsidRDefault="00512676" w:rsidP="00512676">
      <w:pPr>
        <w:jc w:val="both"/>
        <w:rPr>
          <w:rFonts w:ascii="Arial" w:hAnsi="Arial" w:cs="Arial"/>
          <w:noProof/>
        </w:rPr>
      </w:pPr>
    </w:p>
    <w:p w:rsidR="00512676" w:rsidRDefault="00512676" w:rsidP="00512676">
      <w:pPr>
        <w:jc w:val="both"/>
        <w:rPr>
          <w:rFonts w:ascii="Arial" w:hAnsi="Arial" w:cs="Arial"/>
          <w:noProof/>
        </w:rPr>
      </w:pPr>
    </w:p>
    <w:p w:rsidR="00512676" w:rsidRDefault="00512676" w:rsidP="00512676">
      <w:pPr>
        <w:jc w:val="both"/>
        <w:rPr>
          <w:rFonts w:ascii="Arial" w:hAnsi="Arial" w:cs="Arial"/>
          <w:noProof/>
        </w:rPr>
      </w:pPr>
    </w:p>
    <w:p w:rsidR="00512676" w:rsidRDefault="00512676" w:rsidP="00512676">
      <w:pPr>
        <w:jc w:val="both"/>
        <w:rPr>
          <w:rFonts w:ascii="Arial" w:hAnsi="Arial" w:cs="Arial"/>
          <w:noProof/>
        </w:rPr>
      </w:pPr>
    </w:p>
    <w:p w:rsidR="00512676" w:rsidRDefault="00512676" w:rsidP="00512676">
      <w:pPr>
        <w:jc w:val="both"/>
        <w:rPr>
          <w:rFonts w:ascii="Arial" w:hAnsi="Arial" w:cs="Arial"/>
        </w:rPr>
      </w:pPr>
      <w:r w:rsidRPr="00D32BA6">
        <w:rPr>
          <w:noProof/>
          <w:lang w:eastAsia="cs-CZ"/>
        </w:rPr>
        <w:drawing>
          <wp:anchor distT="0" distB="0" distL="114300" distR="114300" simplePos="0" relativeHeight="251662848" behindDoc="0" locked="0" layoutInCell="1" allowOverlap="1">
            <wp:simplePos x="0" y="0"/>
            <wp:positionH relativeFrom="column">
              <wp:posOffset>30480</wp:posOffset>
            </wp:positionH>
            <wp:positionV relativeFrom="paragraph">
              <wp:posOffset>159385</wp:posOffset>
            </wp:positionV>
            <wp:extent cx="4086225" cy="2638425"/>
            <wp:effectExtent l="0" t="0" r="9525" b="9525"/>
            <wp:wrapSquare wrapText="bothSides"/>
            <wp:docPr id="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Default="00512676" w:rsidP="00512676">
      <w:pPr>
        <w:jc w:val="both"/>
        <w:rPr>
          <w:rFonts w:ascii="Arial" w:hAnsi="Arial" w:cs="Arial"/>
        </w:rPr>
      </w:pPr>
    </w:p>
    <w:p w:rsidR="00512676" w:rsidRPr="00E74DED" w:rsidRDefault="00512676" w:rsidP="00512676">
      <w:pPr>
        <w:jc w:val="both"/>
        <w:rPr>
          <w:rFonts w:ascii="Arial" w:hAnsi="Arial" w:cs="Arial"/>
        </w:rPr>
      </w:pPr>
    </w:p>
    <w:p w:rsidR="00512676" w:rsidRDefault="00512676" w:rsidP="00512676"/>
    <w:p w:rsidR="00512676" w:rsidRPr="00512676" w:rsidRDefault="00512676" w:rsidP="00512676"/>
    <w:p w:rsidR="00512676" w:rsidRDefault="00512676" w:rsidP="00512676">
      <w:pPr>
        <w:jc w:val="both"/>
        <w:rPr>
          <w:rFonts w:ascii="Arial" w:hAnsi="Arial" w:cs="Arial"/>
          <w:color w:val="023E88"/>
        </w:rPr>
      </w:pPr>
    </w:p>
    <w:p w:rsidR="00512676" w:rsidRDefault="00512676" w:rsidP="00512676">
      <w:pPr>
        <w:pStyle w:val="Titulek"/>
        <w:rPr>
          <w:noProof/>
        </w:rPr>
      </w:pPr>
      <w:r>
        <w:rPr>
          <w:noProof/>
        </w:rPr>
        <w:t>Obr.</w:t>
      </w:r>
      <w:r w:rsidR="002D5CE3">
        <w:rPr>
          <w:noProof/>
        </w:rPr>
        <w:t xml:space="preserve"> 7</w:t>
      </w:r>
      <w:r>
        <w:rPr>
          <w:noProof/>
        </w:rPr>
        <w:t xml:space="preserve"> </w:t>
      </w:r>
      <w:r w:rsidRPr="006B4CBD">
        <w:rPr>
          <w:noProof/>
        </w:rPr>
        <w:t xml:space="preserve"> Počátek kvetení třezalky tečkované a vrbky úzkolisté v roce 2020 a 2019</w:t>
      </w:r>
      <w:r w:rsidR="009306BC">
        <w:rPr>
          <w:noProof/>
        </w:rPr>
        <w:t>.</w:t>
      </w:r>
    </w:p>
    <w:p w:rsidR="00512676" w:rsidRDefault="00512676">
      <w:pPr>
        <w:spacing w:line="259" w:lineRule="auto"/>
      </w:pPr>
      <w:r>
        <w:br w:type="page"/>
      </w:r>
    </w:p>
    <w:p w:rsidR="00512676" w:rsidRPr="00512676" w:rsidRDefault="00512676" w:rsidP="00512676">
      <w:pPr>
        <w:pStyle w:val="Nadpis2"/>
      </w:pPr>
      <w:r>
        <w:lastRenderedPageBreak/>
        <w:t>Hydrologie</w:t>
      </w:r>
    </w:p>
    <w:p w:rsidR="009E77E5" w:rsidRDefault="009E77E5" w:rsidP="0020378E">
      <w:pPr>
        <w:pStyle w:val="Nadpis3"/>
      </w:pPr>
      <w:r>
        <w:t>Povrchové vody</w:t>
      </w:r>
    </w:p>
    <w:p w:rsidR="00C0143F" w:rsidRDefault="00D37169" w:rsidP="00F81E64">
      <w:pPr>
        <w:pStyle w:val="text"/>
      </w:pPr>
      <w:r w:rsidRPr="00CD1DA3">
        <w:t>Z pohledu povrchových vod můžeme naše území během letošního léta rozdělit na dvě poloviny. V severozápadní polovině Čech se vyskytovalo nejmenší množství srážek, a tak zde byly průtoky ve vodních tocích většinou podprůměrné a pouze přechodně po srážkách průměrné. Naopak v jihovýchodní polovině Čech a na Moravě a ve Slezsku se srážky vyskytovaly mnohem častěji (a byly často i velmi vydatné) a průtoky zde byly průměrné až nadprůměrné. Stejná situace přetrvává i nyní v první dekádě září.</w:t>
      </w:r>
    </w:p>
    <w:p w:rsidR="00D36F8A" w:rsidRPr="00F81E64" w:rsidRDefault="00D36F8A" w:rsidP="00F81E64">
      <w:pPr>
        <w:pStyle w:val="Vrazncitt"/>
      </w:pPr>
      <w:r>
        <w:rPr>
          <w:sz w:val="22"/>
          <w:szCs w:val="20"/>
        </w:rPr>
        <w:t xml:space="preserve">     </w:t>
      </w:r>
      <w:r w:rsidR="00362D7F">
        <w:t>S</w:t>
      </w:r>
      <w:r>
        <w:t>tav po</w:t>
      </w:r>
      <w:r w:rsidR="00362D7F">
        <w:t>vrchových</w:t>
      </w:r>
      <w:r>
        <w:t xml:space="preserve"> vod byl </w:t>
      </w:r>
      <w:r w:rsidR="00362D7F">
        <w:t>na většině území lepší</w:t>
      </w:r>
      <w:r>
        <w:t xml:space="preserve"> </w:t>
      </w:r>
      <w:r w:rsidR="00362D7F">
        <w:t>než loni a předloni v</w:t>
      </w:r>
      <w:r w:rsidR="00F81E64">
        <w:t> </w:t>
      </w:r>
      <w:r w:rsidR="00362D7F">
        <w:t>létě</w:t>
      </w:r>
      <w:r w:rsidR="00F81E64">
        <w:t>.</w:t>
      </w:r>
      <w:r>
        <w:t xml:space="preserve"> </w:t>
      </w:r>
    </w:p>
    <w:p w:rsidR="00D37169" w:rsidRDefault="002D5CE3" w:rsidP="00F81E64">
      <w:pPr>
        <w:pStyle w:val="text"/>
      </w:pPr>
      <w:r w:rsidRPr="002D5CE3">
        <w:rPr>
          <w:noProof/>
          <w:color w:val="FF0000"/>
          <w:lang w:eastAsia="cs-CZ"/>
        </w:rPr>
        <w:drawing>
          <wp:anchor distT="0" distB="0" distL="114300" distR="114300" simplePos="0" relativeHeight="251672064" behindDoc="0" locked="0" layoutInCell="1" allowOverlap="1">
            <wp:simplePos x="0" y="0"/>
            <wp:positionH relativeFrom="margin">
              <wp:align>left</wp:align>
            </wp:positionH>
            <wp:positionV relativeFrom="paragraph">
              <wp:posOffset>779780</wp:posOffset>
            </wp:positionV>
            <wp:extent cx="6400800" cy="4054475"/>
            <wp:effectExtent l="0" t="0" r="0" b="3175"/>
            <wp:wrapTopAndBottom/>
            <wp:docPr id="11" name="Obrázek 11" descr="C:\Users\user\AppData\Local\Microsoft\Windows\INetCache\Content.Outlook\SRFS8KSZ\Datový zdroj 5@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SRFS8KSZ\Datový zdroj 5@3x.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405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169" w:rsidRPr="00CD1DA3">
        <w:t>V </w:t>
      </w:r>
      <w:r w:rsidR="00CD1DA3" w:rsidRPr="00CD1DA3">
        <w:t>porovná</w:t>
      </w:r>
      <w:r w:rsidR="00D37169" w:rsidRPr="00CD1DA3">
        <w:t xml:space="preserve">ní s letním obdobím </w:t>
      </w:r>
      <w:r>
        <w:t>v roce 2019</w:t>
      </w:r>
      <w:r w:rsidR="00D37169" w:rsidRPr="00CD1DA3">
        <w:t xml:space="preserve"> </w:t>
      </w:r>
      <w:r w:rsidR="00CD1DA3" w:rsidRPr="00CD1DA3">
        <w:t>jsou průtoky ve vodních tocích na většině území větší a v jihovýchodní polo</w:t>
      </w:r>
      <w:r>
        <w:t>vině území i výrazněji – pro příklad, v</w:t>
      </w:r>
      <w:r w:rsidR="00CD1DA3" w:rsidRPr="00CD1DA3">
        <w:t> letním období v roce 2018 byly podprůměrné až mimořádně podprůměrné průtoky na většině našeho území, a to po převážnou část léta</w:t>
      </w:r>
      <w:r>
        <w:t xml:space="preserve"> (obr. 8)</w:t>
      </w:r>
    </w:p>
    <w:p w:rsidR="002D5CE3" w:rsidRDefault="002D5CE3" w:rsidP="00F81E64">
      <w:pPr>
        <w:pStyle w:val="text"/>
      </w:pPr>
    </w:p>
    <w:p w:rsidR="002D5CE3" w:rsidRDefault="002D5CE3" w:rsidP="002D5CE3">
      <w:pPr>
        <w:pStyle w:val="Titulek"/>
      </w:pPr>
      <w:r>
        <w:t>Obr. 8  Srovnání průtoků s dlouhodobým měsíčním průměrem v letech 2019 a 2020 (konec měsíce července a srpna)</w:t>
      </w:r>
    </w:p>
    <w:p w:rsidR="00CD1DA3" w:rsidRDefault="00CD1DA3" w:rsidP="00F81E64">
      <w:pPr>
        <w:pStyle w:val="text"/>
      </w:pPr>
      <w:r>
        <w:lastRenderedPageBreak/>
        <w:t xml:space="preserve">Letošní léto se od letních období v roce 2018 a 2019 odlišovalo také v počtu vodoměrných profilů, ve kterých byl </w:t>
      </w:r>
      <w:r w:rsidR="009B46BD">
        <w:t xml:space="preserve">na vodních tocích </w:t>
      </w:r>
      <w:r>
        <w:t>zaznamenáván stav sucha</w:t>
      </w:r>
      <w:r w:rsidR="00BE51D8">
        <w:t xml:space="preserve"> (obr. 9 a 10)</w:t>
      </w:r>
      <w:r>
        <w:t xml:space="preserve">. Loni v červenci </w:t>
      </w:r>
      <w:r w:rsidR="009B46BD">
        <w:t xml:space="preserve">a srpnu </w:t>
      </w:r>
      <w:r>
        <w:t>se nejčastěji jednalo o 100 až 200 profilů</w:t>
      </w:r>
      <w:r w:rsidR="009B46BD">
        <w:t xml:space="preserve"> a ke konci července až okolo 250. Během letního období v roce 2018 byl průtok pod hranicí sucha zaznamenán v ještě větším množství vodoměrných profilů. Naopak během letošního léta byl průtok pod hranicí sucha zaznamenáván většinou na 50 až 100 profilech. Po vydatnějších srážkách přetrvával stav sucha nejčastěji jen na cca 20 až 30 profilech.</w:t>
      </w:r>
    </w:p>
    <w:p w:rsidR="00362D7F" w:rsidRDefault="00362D7F" w:rsidP="00CD1DA3">
      <w:pPr>
        <w:jc w:val="both"/>
        <w:rPr>
          <w:sz w:val="22"/>
          <w:szCs w:val="20"/>
        </w:rPr>
      </w:pPr>
      <w:r>
        <w:rPr>
          <w:noProof/>
          <w:sz w:val="22"/>
          <w:szCs w:val="20"/>
          <w:lang w:eastAsia="cs-CZ"/>
        </w:rPr>
        <w:drawing>
          <wp:anchor distT="0" distB="0" distL="114300" distR="114300" simplePos="0" relativeHeight="251666944" behindDoc="0" locked="0" layoutInCell="1" allowOverlap="1" wp14:anchorId="6B7D6BD7" wp14:editId="459F1177">
            <wp:simplePos x="0" y="0"/>
            <wp:positionH relativeFrom="margin">
              <wp:posOffset>0</wp:posOffset>
            </wp:positionH>
            <wp:positionV relativeFrom="paragraph">
              <wp:posOffset>313690</wp:posOffset>
            </wp:positionV>
            <wp:extent cx="6466840" cy="2770505"/>
            <wp:effectExtent l="0" t="0" r="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6840" cy="2770505"/>
                    </a:xfrm>
                    <a:prstGeom prst="rect">
                      <a:avLst/>
                    </a:prstGeom>
                    <a:noFill/>
                  </pic:spPr>
                </pic:pic>
              </a:graphicData>
            </a:graphic>
            <wp14:sizeRelH relativeFrom="margin">
              <wp14:pctWidth>0</wp14:pctWidth>
            </wp14:sizeRelH>
            <wp14:sizeRelV relativeFrom="margin">
              <wp14:pctHeight>0</wp14:pctHeight>
            </wp14:sizeRelV>
          </wp:anchor>
        </w:drawing>
      </w:r>
    </w:p>
    <w:p w:rsidR="00D36F8A" w:rsidRDefault="00D36F8A" w:rsidP="00D36F8A">
      <w:pPr>
        <w:pStyle w:val="Titulek"/>
      </w:pPr>
      <w:r>
        <w:t xml:space="preserve">Obr. </w:t>
      </w:r>
      <w:r w:rsidR="00BE51D8">
        <w:t xml:space="preserve">9 </w:t>
      </w:r>
      <w:r>
        <w:t>Počet vodoměrných profilů s hydrologickým suchem během července 2019 a 2020</w:t>
      </w:r>
      <w:r w:rsidR="009306BC">
        <w:t>.</w:t>
      </w:r>
    </w:p>
    <w:p w:rsidR="00CD1DA3" w:rsidRPr="00CD1DA3" w:rsidRDefault="009B46BD" w:rsidP="00CD1DA3">
      <w:pPr>
        <w:jc w:val="both"/>
        <w:rPr>
          <w:sz w:val="22"/>
          <w:szCs w:val="20"/>
        </w:rPr>
      </w:pPr>
      <w:r>
        <w:rPr>
          <w:noProof/>
          <w:sz w:val="22"/>
          <w:szCs w:val="20"/>
          <w:lang w:eastAsia="cs-CZ"/>
        </w:rPr>
        <w:drawing>
          <wp:anchor distT="0" distB="0" distL="114300" distR="114300" simplePos="0" relativeHeight="251664896" behindDoc="0" locked="0" layoutInCell="1" allowOverlap="1">
            <wp:simplePos x="0" y="0"/>
            <wp:positionH relativeFrom="margin">
              <wp:align>left</wp:align>
            </wp:positionH>
            <wp:positionV relativeFrom="paragraph">
              <wp:posOffset>374015</wp:posOffset>
            </wp:positionV>
            <wp:extent cx="6511067" cy="2789555"/>
            <wp:effectExtent l="0" t="0" r="4445"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1067" cy="2789555"/>
                    </a:xfrm>
                    <a:prstGeom prst="rect">
                      <a:avLst/>
                    </a:prstGeom>
                    <a:noFill/>
                  </pic:spPr>
                </pic:pic>
              </a:graphicData>
            </a:graphic>
            <wp14:sizeRelH relativeFrom="margin">
              <wp14:pctWidth>0</wp14:pctWidth>
            </wp14:sizeRelH>
            <wp14:sizeRelV relativeFrom="margin">
              <wp14:pctHeight>0</wp14:pctHeight>
            </wp14:sizeRelV>
          </wp:anchor>
        </w:drawing>
      </w:r>
    </w:p>
    <w:p w:rsidR="00CD1DA3" w:rsidRPr="00C0143F" w:rsidRDefault="00BE51D8" w:rsidP="00D36F8A">
      <w:pPr>
        <w:pStyle w:val="Titulek"/>
      </w:pPr>
      <w:r>
        <w:t xml:space="preserve">Obr. 10 </w:t>
      </w:r>
      <w:r w:rsidR="009B46BD">
        <w:t xml:space="preserve">Počet vodoměrných profilů s hydrologickým suchem </w:t>
      </w:r>
      <w:r w:rsidR="00D36F8A">
        <w:t>během srpna 2019 a 2020</w:t>
      </w:r>
      <w:r w:rsidR="009306BC">
        <w:t>.</w:t>
      </w:r>
    </w:p>
    <w:p w:rsidR="004456B9" w:rsidRDefault="009E77E5" w:rsidP="0020378E">
      <w:pPr>
        <w:pStyle w:val="Nadpis3"/>
      </w:pPr>
      <w:r>
        <w:lastRenderedPageBreak/>
        <w:t>Podzemní vody</w:t>
      </w:r>
    </w:p>
    <w:p w:rsidR="009E77E5" w:rsidRDefault="009E77E5" w:rsidP="009E77E5">
      <w:pPr>
        <w:pStyle w:val="text"/>
      </w:pPr>
      <w:r>
        <w:t>Letošní léto bylo pro podzemní vody velmi příznivé. Začátkem července bylo v mělkém oběhu dokonce dosaženo mírně nadnormálního stavu. Poté hladina mírně poklesla, přesto zůstala po zbytek léta na normální úrovni. Situace však nebyla na celém území stejná. Zatímco na západě a severozápadě Čech v průběhu léta převažovalo mírné místy až silné sucho, na zbylém území ČR byla úroveň hladiny převážně mírně, místy až silně nadnormální, například v oblasti severní Moravy</w:t>
      </w:r>
      <w:r w:rsidR="00BE51D8">
        <w:t xml:space="preserve"> (obr. 11)</w:t>
      </w:r>
      <w:r>
        <w:t xml:space="preserve">. </w:t>
      </w:r>
    </w:p>
    <w:p w:rsidR="009E77E5" w:rsidRDefault="009E77E5" w:rsidP="009E77E5">
      <w:pPr>
        <w:pStyle w:val="Vrazncitt"/>
      </w:pPr>
      <w:r>
        <w:t xml:space="preserve">Celkový stav podzemních vod byl jednoznačně nejlepší za posledních pět let. </w:t>
      </w:r>
    </w:p>
    <w:p w:rsidR="009E77E5" w:rsidRDefault="009E77E5" w:rsidP="009E77E5">
      <w:pPr>
        <w:pStyle w:val="text"/>
      </w:pPr>
      <w:r>
        <w:t>V průběhu léta zpravidla dochází vlivem výparu vegetací k poklesu hladiny, letos však vzhledem k srážkově vydatným měsícům a průměrným teplotám, došlo k doplnění mělkých zvodní i v průběhu vegetační sezóny. Hladina od května až do července stoupala</w:t>
      </w:r>
      <w:r w:rsidR="00BE51D8">
        <w:t xml:space="preserve"> (obr. 12)</w:t>
      </w:r>
      <w:r>
        <w:t>. V případě hlubokých zvodní v některých vodohospodářsky významných oblastech jako je severočeská křída, je však hladina podzemní vody nadále na mimořádně podnormální úrovni.</w:t>
      </w:r>
    </w:p>
    <w:p w:rsidR="009E77E5" w:rsidRDefault="00AE7E56" w:rsidP="009E77E5">
      <w:pPr>
        <w:pStyle w:val="Titulek"/>
      </w:pPr>
      <w:r>
        <w:rPr>
          <w:noProof/>
          <w:lang w:eastAsia="cs-CZ"/>
        </w:rPr>
        <w:drawing>
          <wp:inline distT="0" distB="0" distL="0" distR="0" wp14:anchorId="69C8D70F" wp14:editId="58EF5A94">
            <wp:extent cx="4712781" cy="329884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15049" cy="3300435"/>
                    </a:xfrm>
                    <a:prstGeom prst="rect">
                      <a:avLst/>
                    </a:prstGeom>
                  </pic:spPr>
                </pic:pic>
              </a:graphicData>
            </a:graphic>
          </wp:inline>
        </w:drawing>
      </w:r>
    </w:p>
    <w:p w:rsidR="009E77E5" w:rsidRDefault="009E77E5" w:rsidP="009E77E5">
      <w:pPr>
        <w:pStyle w:val="Titulek"/>
      </w:pPr>
      <w:r>
        <w:t>Obr.</w:t>
      </w:r>
      <w:r w:rsidR="00BE51D8">
        <w:t xml:space="preserve"> 11 </w:t>
      </w:r>
      <w:r>
        <w:t xml:space="preserve"> Stav hladiny podzemní vody v mělkých vrtech v červenci 2020</w:t>
      </w:r>
      <w:r w:rsidR="009306BC">
        <w:t>.</w:t>
      </w:r>
    </w:p>
    <w:p w:rsidR="009E77E5" w:rsidRDefault="009E77E5" w:rsidP="009E77E5"/>
    <w:p w:rsidR="009E77E5" w:rsidRDefault="009E77E5" w:rsidP="009E77E5"/>
    <w:p w:rsidR="009E77E5" w:rsidRPr="009E77E5" w:rsidRDefault="009E77E5" w:rsidP="009E77E5"/>
    <w:p w:rsidR="009E77E5" w:rsidRDefault="009E77E5" w:rsidP="009E77E5">
      <w:pPr>
        <w:pStyle w:val="Nadpis1"/>
      </w:pPr>
      <w:r>
        <w:rPr>
          <w:noProof/>
          <w:lang w:eastAsia="cs-CZ"/>
        </w:rPr>
        <w:lastRenderedPageBreak/>
        <w:drawing>
          <wp:anchor distT="0" distB="0" distL="114300" distR="114300" simplePos="0" relativeHeight="251663872" behindDoc="0" locked="0" layoutInCell="1" allowOverlap="1">
            <wp:simplePos x="0" y="0"/>
            <wp:positionH relativeFrom="column">
              <wp:posOffset>-92710</wp:posOffset>
            </wp:positionH>
            <wp:positionV relativeFrom="paragraph">
              <wp:posOffset>11430</wp:posOffset>
            </wp:positionV>
            <wp:extent cx="5400675" cy="3448050"/>
            <wp:effectExtent l="0" t="0" r="0" b="0"/>
            <wp:wrapSquare wrapText="bothSides"/>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E77E5" w:rsidRPr="009E77E5" w:rsidRDefault="009E77E5" w:rsidP="009E77E5"/>
    <w:p w:rsidR="009E77E5" w:rsidRPr="009E77E5" w:rsidRDefault="009E77E5" w:rsidP="009E77E5"/>
    <w:p w:rsidR="009E77E5" w:rsidRPr="009E77E5" w:rsidRDefault="009E77E5" w:rsidP="009E77E5"/>
    <w:p w:rsidR="009E77E5" w:rsidRPr="009E77E5" w:rsidRDefault="009E77E5" w:rsidP="009E77E5"/>
    <w:p w:rsidR="009E77E5" w:rsidRPr="009E77E5" w:rsidRDefault="009E77E5" w:rsidP="009E77E5"/>
    <w:p w:rsidR="009E77E5" w:rsidRPr="009E77E5" w:rsidRDefault="009E77E5" w:rsidP="009E77E5"/>
    <w:p w:rsidR="009E77E5" w:rsidRDefault="009E77E5" w:rsidP="009E77E5"/>
    <w:p w:rsidR="009E77E5" w:rsidRDefault="009E77E5" w:rsidP="009E77E5"/>
    <w:p w:rsidR="009E77E5" w:rsidRDefault="009E77E5" w:rsidP="009E77E5"/>
    <w:p w:rsidR="009E77E5" w:rsidRDefault="009E77E5" w:rsidP="009E77E5">
      <w:pPr>
        <w:pStyle w:val="Titulek"/>
      </w:pPr>
      <w:r>
        <w:t>Obr.</w:t>
      </w:r>
      <w:r w:rsidR="00BE51D8">
        <w:t xml:space="preserve"> 12 </w:t>
      </w:r>
      <w:r>
        <w:t xml:space="preserve"> Vývoj stavu hladiny podzemní vody od 2018 do 35. týdne 2020</w:t>
      </w:r>
      <w:r w:rsidR="009306BC">
        <w:t>.</w:t>
      </w:r>
    </w:p>
    <w:p w:rsidR="009E77E5" w:rsidRDefault="009E77E5" w:rsidP="009E77E5"/>
    <w:p w:rsidR="00F979BB" w:rsidRPr="009E77E5" w:rsidRDefault="00F979BB" w:rsidP="009E77E5">
      <w:pPr>
        <w:sectPr w:rsidR="00F979BB" w:rsidRPr="009E77E5" w:rsidSect="00972D2F">
          <w:headerReference w:type="default" r:id="rId22"/>
          <w:footerReference w:type="default" r:id="rId23"/>
          <w:headerReference w:type="first" r:id="rId24"/>
          <w:footerReference w:type="first" r:id="rId25"/>
          <w:pgSz w:w="11906" w:h="16838"/>
          <w:pgMar w:top="1799" w:right="851" w:bottom="1134" w:left="851" w:header="1020" w:footer="1701" w:gutter="0"/>
          <w:cols w:space="708"/>
          <w:titlePg/>
          <w:docGrid w:linePitch="360"/>
        </w:sectPr>
      </w:pPr>
    </w:p>
    <w:p w:rsidR="00470CCA" w:rsidRPr="00114637" w:rsidRDefault="00470CCA" w:rsidP="00114637">
      <w:pPr>
        <w:pStyle w:val="Nadpiskontakt"/>
        <w:spacing w:before="840"/>
      </w:pPr>
      <w:r w:rsidRPr="00114637">
        <w:lastRenderedPageBreak/>
        <w:t>Kontakt:</w:t>
      </w:r>
    </w:p>
    <w:p w:rsidR="00470CCA" w:rsidRPr="00114637" w:rsidRDefault="00470CCA" w:rsidP="00114637">
      <w:pPr>
        <w:pStyle w:val="kontaktjmno"/>
      </w:pPr>
      <w:r w:rsidRPr="00114637">
        <w:t>Martina Součková</w:t>
      </w:r>
    </w:p>
    <w:p w:rsidR="00470CCA" w:rsidRPr="00114637" w:rsidRDefault="00470CCA" w:rsidP="00114637">
      <w:pPr>
        <w:pStyle w:val="kontaktostatn"/>
      </w:pPr>
      <w:r w:rsidRPr="00114637">
        <w:t>manažerka komunikace</w:t>
      </w:r>
    </w:p>
    <w:p w:rsidR="00470CCA" w:rsidRPr="00114637" w:rsidRDefault="00470CCA" w:rsidP="00114637">
      <w:pPr>
        <w:pStyle w:val="kontaktostatn"/>
      </w:pPr>
      <w:r w:rsidRPr="00114637">
        <w:t>e-mail: martina.souckova@chmi.cz,</w:t>
      </w:r>
    </w:p>
    <w:p w:rsidR="00470CCA" w:rsidRPr="00114637" w:rsidRDefault="00470CCA" w:rsidP="00114637">
      <w:pPr>
        <w:pStyle w:val="kontaktostatn"/>
      </w:pPr>
      <w:r w:rsidRPr="00114637">
        <w:t>info@chmi.cz, tel.:</w:t>
      </w:r>
      <w:r w:rsidR="00962D66" w:rsidRPr="00114637">
        <w:t xml:space="preserve"> </w:t>
      </w:r>
      <w:r w:rsidRPr="00114637">
        <w:t xml:space="preserve"> 777 181 882 / 735 794 383</w:t>
      </w:r>
    </w:p>
    <w:p w:rsidR="00470CCA" w:rsidRPr="00114637" w:rsidRDefault="00470CCA" w:rsidP="00114637">
      <w:pPr>
        <w:pStyle w:val="Kontaktodborngarant"/>
      </w:pPr>
      <w:r w:rsidRPr="00114637">
        <w:t>Odborný garant:</w:t>
      </w:r>
    </w:p>
    <w:p w:rsidR="00470CCA" w:rsidRPr="00114637" w:rsidRDefault="00470CCA" w:rsidP="00114637">
      <w:pPr>
        <w:pStyle w:val="kontaktostatn"/>
      </w:pPr>
      <w:r w:rsidRPr="00114637">
        <w:t>Lenka Crhová / klimatologie</w:t>
      </w:r>
    </w:p>
    <w:p w:rsidR="00470CCA" w:rsidRPr="00114637" w:rsidRDefault="00470CCA" w:rsidP="00114637">
      <w:pPr>
        <w:pStyle w:val="kontaktostatn"/>
      </w:pPr>
      <w:r w:rsidRPr="00114637">
        <w:t>Martin Možný, Lenka Hájková / půdní sucho a stav vegetace</w:t>
      </w:r>
    </w:p>
    <w:p w:rsidR="00470CCA" w:rsidRPr="00114637" w:rsidRDefault="00470CCA" w:rsidP="00114637">
      <w:pPr>
        <w:pStyle w:val="kontaktostatn"/>
      </w:pPr>
      <w:r w:rsidRPr="00114637">
        <w:t xml:space="preserve">Radek Čekal, </w:t>
      </w:r>
      <w:r w:rsidR="0039139F">
        <w:t>Martin Pecha</w:t>
      </w:r>
      <w:r w:rsidRPr="00114637">
        <w:t xml:space="preserve"> / hydrologie, </w:t>
      </w:r>
      <w:proofErr w:type="spellStart"/>
      <w:r w:rsidRPr="00114637">
        <w:t>hydroprognóza</w:t>
      </w:r>
      <w:proofErr w:type="spellEnd"/>
    </w:p>
    <w:p w:rsidR="00470CCA" w:rsidRPr="00114637" w:rsidRDefault="0039139F" w:rsidP="00114637">
      <w:pPr>
        <w:pStyle w:val="kontaktostatn"/>
      </w:pPr>
      <w:r>
        <w:t>Anna Lamačová</w:t>
      </w:r>
      <w:r w:rsidR="00470CCA" w:rsidRPr="00114637">
        <w:t xml:space="preserve"> / podzemní vody</w:t>
      </w:r>
    </w:p>
    <w:p w:rsidR="00470CCA" w:rsidRPr="00114637" w:rsidRDefault="00470CCA" w:rsidP="00114637">
      <w:pPr>
        <w:pStyle w:val="Kontaktodborngarant"/>
      </w:pPr>
      <w:r w:rsidRPr="00114637">
        <w:t>Podrobné informace naleznete:</w:t>
      </w:r>
    </w:p>
    <w:p w:rsidR="00470CCA" w:rsidRPr="00114637" w:rsidRDefault="00470CCA" w:rsidP="00114637">
      <w:pPr>
        <w:pStyle w:val="kontaktostatn"/>
      </w:pPr>
      <w:r w:rsidRPr="00114637">
        <w:t>http://portal.chmi.cz/aktualni-situace/sucho</w:t>
      </w:r>
    </w:p>
    <w:p w:rsidR="00962D66" w:rsidRPr="00114637" w:rsidRDefault="00470CCA" w:rsidP="00114637">
      <w:pPr>
        <w:pStyle w:val="kontaktostatn"/>
      </w:pPr>
      <w:r w:rsidRPr="00114637">
        <w:t>http://hamr.chmi.cz/</w:t>
      </w:r>
    </w:p>
    <w:sectPr w:rsidR="00962D66" w:rsidRPr="00114637" w:rsidSect="00F979BB">
      <w:headerReference w:type="first" r:id="rId26"/>
      <w:footerReference w:type="first" r:id="rId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E1D" w:rsidRDefault="00F47E1D" w:rsidP="0020378E">
      <w:r>
        <w:separator/>
      </w:r>
    </w:p>
  </w:endnote>
  <w:endnote w:type="continuationSeparator" w:id="0">
    <w:p w:rsidR="00F47E1D" w:rsidRDefault="00F47E1D" w:rsidP="0020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charset w:val="58"/>
    <w:family w:val="auto"/>
    <w:pitch w:val="variable"/>
    <w:sig w:usb0="E1000AEF" w:usb1="5000A1FF" w:usb2="00000000" w:usb3="00000000" w:csb0="000001BF" w:csb1="00000000"/>
  </w:font>
  <w:font w:name="Calibri Light">
    <w:panose1 w:val="020F0302020204030204"/>
    <w:charset w:val="EE"/>
    <w:family w:val="swiss"/>
    <w:pitch w:val="variable"/>
    <w:sig w:usb0="E0002AFF" w:usb1="C000247B" w:usb2="00000009" w:usb3="00000000" w:csb0="000001F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Pr="007233B8" w:rsidRDefault="00A824CC" w:rsidP="00BB6218">
    <w:pPr>
      <w:pStyle w:val="Zpat"/>
      <w:tabs>
        <w:tab w:val="clear" w:pos="9072"/>
        <w:tab w:val="right" w:pos="10204"/>
      </w:tabs>
    </w:pPr>
    <w:r>
      <w:rPr>
        <w:noProof/>
        <w:lang w:eastAsia="cs-CZ"/>
      </w:rPr>
      <mc:AlternateContent>
        <mc:Choice Requires="wps">
          <w:drawing>
            <wp:anchor distT="0" distB="0" distL="114300" distR="114300" simplePos="0" relativeHeight="251664384" behindDoc="0" locked="1" layoutInCell="1" allowOverlap="1" wp14:anchorId="31DEA0B3" wp14:editId="44C7AF0C">
              <wp:simplePos x="0" y="0"/>
              <wp:positionH relativeFrom="column">
                <wp:posOffset>6151880</wp:posOffset>
              </wp:positionH>
              <wp:positionV relativeFrom="paragraph">
                <wp:posOffset>330200</wp:posOffset>
              </wp:positionV>
              <wp:extent cx="262255" cy="359410"/>
              <wp:effectExtent l="0" t="0" r="4445" b="2540"/>
              <wp:wrapNone/>
              <wp:docPr id="117" name="Textové pole 117"/>
              <wp:cNvGraphicFramePr/>
              <a:graphic xmlns:a="http://schemas.openxmlformats.org/drawingml/2006/main">
                <a:graphicData uri="http://schemas.microsoft.com/office/word/2010/wordprocessingShape">
                  <wps:wsp>
                    <wps:cNvSpPr txBox="1"/>
                    <wps:spPr>
                      <a:xfrm>
                        <a:off x="0" y="0"/>
                        <a:ext cx="26225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9306BC">
                            <w:rPr>
                              <w:noProof/>
                              <w:color w:val="023E88"/>
                            </w:rPr>
                            <w:t>2</w:t>
                          </w:r>
                          <w:r w:rsidRPr="00A71D39">
                            <w:rPr>
                              <w:color w:val="023E8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A0B3" id="_x0000_t202" coordsize="21600,21600" o:spt="202" path="m,l,21600r21600,l21600,xe">
              <v:stroke joinstyle="miter"/>
              <v:path gradientshapeok="t" o:connecttype="rect"/>
            </v:shapetype>
            <v:shape id="Textové pole 117" o:spid="_x0000_s1026" type="#_x0000_t202" style="position:absolute;margin-left:484.4pt;margin-top:26pt;width:20.6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" fillcolor="white [3201]" stroked="f" strokeweight=".5pt">
              <v:textbox>
                <w:txbxContent>
                  <w:p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9306BC">
                      <w:rPr>
                        <w:noProof/>
                        <w:color w:val="023E88"/>
                      </w:rPr>
                      <w:t>2</w:t>
                    </w:r>
                    <w:r w:rsidRPr="00A71D39">
                      <w:rPr>
                        <w:color w:val="023E88"/>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pat"/>
    </w:pPr>
    <w:r w:rsidRPr="00601D2B">
      <w:rPr>
        <w:noProof/>
        <w:lang w:eastAsia="cs-CZ"/>
      </w:rPr>
      <w:drawing>
        <wp:anchor distT="0" distB="0" distL="114300" distR="114300" simplePos="0" relativeHeight="251667456" behindDoc="1" locked="0" layoutInCell="1" allowOverlap="1" wp14:anchorId="6876FB3C" wp14:editId="16EA0331">
          <wp:simplePos x="0" y="0"/>
          <wp:positionH relativeFrom="column">
            <wp:posOffset>3783965</wp:posOffset>
          </wp:positionH>
          <wp:positionV relativeFrom="paragraph">
            <wp:posOffset>-445304</wp:posOffset>
          </wp:positionV>
          <wp:extent cx="2577465" cy="956647"/>
          <wp:effectExtent l="0" t="0" r="0" b="0"/>
          <wp:wrapNone/>
          <wp:docPr id="4"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7465" cy="9566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E1D" w:rsidRDefault="00F47E1D" w:rsidP="0020378E">
      <w:r>
        <w:separator/>
      </w:r>
    </w:p>
  </w:footnote>
  <w:footnote w:type="continuationSeparator" w:id="0">
    <w:p w:rsidR="00F47E1D" w:rsidRDefault="00F47E1D" w:rsidP="00203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Pr="00AD7E7D" w:rsidRDefault="00A824CC" w:rsidP="00C8699C">
    <w:pPr>
      <w:pStyle w:val="Zhlav"/>
      <w:tabs>
        <w:tab w:val="clear" w:pos="9072"/>
        <w:tab w:val="right" w:pos="10204"/>
      </w:tabs>
    </w:pPr>
    <w:r w:rsidRPr="00AD7E7D">
      <w:t>Tisková zpráva ČHMÚ</w:t>
    </w:r>
    <w:r w:rsidRPr="00AD7E7D">
      <w:tab/>
    </w:r>
    <w:r w:rsidRPr="00AD7E7D">
      <w:tab/>
    </w:r>
    <w:r w:rsidR="009306BC">
      <w:t>10</w:t>
    </w:r>
    <w:r w:rsidR="00814C53">
      <w:t>. 9.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C8699C">
    <w:pPr>
      <w:pStyle w:val="Zhlav"/>
      <w:tabs>
        <w:tab w:val="clear" w:pos="9072"/>
        <w:tab w:val="right" w:pos="10204"/>
      </w:tabs>
    </w:pPr>
    <w:r w:rsidRPr="00601D2B">
      <w:rPr>
        <w:noProof/>
        <w:lang w:eastAsia="cs-CZ"/>
      </w:rPr>
      <w:drawing>
        <wp:anchor distT="0" distB="0" distL="114300" distR="114300" simplePos="0" relativeHeight="251660288" behindDoc="0" locked="0" layoutInCell="1" allowOverlap="1" wp14:anchorId="3B9325CB" wp14:editId="3A12E10B">
          <wp:simplePos x="0" y="0"/>
          <wp:positionH relativeFrom="margin">
            <wp:posOffset>6033135</wp:posOffset>
          </wp:positionH>
          <wp:positionV relativeFrom="margin">
            <wp:posOffset>324485</wp:posOffset>
          </wp:positionV>
          <wp:extent cx="1000125" cy="1997710"/>
          <wp:effectExtent l="0" t="0" r="9525" b="2540"/>
          <wp:wrapSquare wrapText="bothSides"/>
          <wp:docPr id="3"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125" cy="1997710"/>
                  </a:xfrm>
                  <a:prstGeom prst="rect">
                    <a:avLst/>
                  </a:prstGeom>
                  <a:noFill/>
                  <a:ln>
                    <a:noFill/>
                  </a:ln>
                </pic:spPr>
              </pic:pic>
            </a:graphicData>
          </a:graphic>
        </wp:anchor>
      </w:drawing>
    </w:r>
    <w:r w:rsidRPr="00DB0064">
      <w:t>Tisková zpráva ČHMÚ</w:t>
    </w:r>
    <w:r>
      <w:tab/>
    </w:r>
    <w:r>
      <w:tab/>
    </w:r>
    <w:r w:rsidR="009306BC">
      <w:t>10</w:t>
    </w:r>
    <w:r w:rsidR="00814C53">
      <w:t>. 9. 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hlav"/>
    </w:pPr>
    <w:r w:rsidRPr="00601D2B">
      <w:rPr>
        <w:noProof/>
        <w:lang w:eastAsia="cs-CZ"/>
      </w:rPr>
      <w:drawing>
        <wp:anchor distT="0" distB="0" distL="114300" distR="114300" simplePos="0" relativeHeight="251663360" behindDoc="0" locked="1" layoutInCell="1" allowOverlap="1" wp14:anchorId="52AFA1C4" wp14:editId="1963D7AD">
          <wp:simplePos x="0" y="0"/>
          <wp:positionH relativeFrom="margin">
            <wp:posOffset>3731260</wp:posOffset>
          </wp:positionH>
          <wp:positionV relativeFrom="paragraph">
            <wp:posOffset>245110</wp:posOffset>
          </wp:positionV>
          <wp:extent cx="2411730" cy="895985"/>
          <wp:effectExtent l="0" t="0" r="762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1173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D2B">
      <w:rPr>
        <w:noProof/>
        <w:lang w:eastAsia="cs-CZ"/>
      </w:rPr>
      <w:drawing>
        <wp:anchor distT="0" distB="0" distL="114300" distR="114300" simplePos="0" relativeHeight="251661312" behindDoc="0" locked="1" layoutInCell="1" allowOverlap="1" wp14:anchorId="712DA638" wp14:editId="060B6661">
          <wp:simplePos x="0" y="0"/>
          <wp:positionH relativeFrom="margin">
            <wp:posOffset>-720090</wp:posOffset>
          </wp:positionH>
          <wp:positionV relativeFrom="paragraph">
            <wp:posOffset>423545</wp:posOffset>
          </wp:positionV>
          <wp:extent cx="2944495" cy="5888990"/>
          <wp:effectExtent l="0" t="0" r="825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4449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929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C53"/>
    <w:rsid w:val="000265D3"/>
    <w:rsid w:val="000300F7"/>
    <w:rsid w:val="00061227"/>
    <w:rsid w:val="000D030E"/>
    <w:rsid w:val="000E36E6"/>
    <w:rsid w:val="00104EB3"/>
    <w:rsid w:val="00110A36"/>
    <w:rsid w:val="00114637"/>
    <w:rsid w:val="00151E7D"/>
    <w:rsid w:val="001C049B"/>
    <w:rsid w:val="0020378E"/>
    <w:rsid w:val="00286560"/>
    <w:rsid w:val="002A3886"/>
    <w:rsid w:val="002D5CE3"/>
    <w:rsid w:val="002E44DF"/>
    <w:rsid w:val="002F2AAD"/>
    <w:rsid w:val="003405B4"/>
    <w:rsid w:val="00362D7F"/>
    <w:rsid w:val="0039139F"/>
    <w:rsid w:val="003A47CC"/>
    <w:rsid w:val="0044154F"/>
    <w:rsid w:val="004456B9"/>
    <w:rsid w:val="004468C2"/>
    <w:rsid w:val="00470CCA"/>
    <w:rsid w:val="004765F3"/>
    <w:rsid w:val="00490102"/>
    <w:rsid w:val="004A2CA8"/>
    <w:rsid w:val="00512676"/>
    <w:rsid w:val="005244EB"/>
    <w:rsid w:val="005609C7"/>
    <w:rsid w:val="00561446"/>
    <w:rsid w:val="0056265D"/>
    <w:rsid w:val="00575BB6"/>
    <w:rsid w:val="005B474C"/>
    <w:rsid w:val="00601D2B"/>
    <w:rsid w:val="00680B09"/>
    <w:rsid w:val="006B6A0D"/>
    <w:rsid w:val="006B6FE3"/>
    <w:rsid w:val="006D4972"/>
    <w:rsid w:val="006E1CBA"/>
    <w:rsid w:val="00715A74"/>
    <w:rsid w:val="00717A8A"/>
    <w:rsid w:val="007233B8"/>
    <w:rsid w:val="00725102"/>
    <w:rsid w:val="007B4A47"/>
    <w:rsid w:val="00802893"/>
    <w:rsid w:val="00814C53"/>
    <w:rsid w:val="008223C2"/>
    <w:rsid w:val="00825E2A"/>
    <w:rsid w:val="008263E8"/>
    <w:rsid w:val="00845FA7"/>
    <w:rsid w:val="00881E41"/>
    <w:rsid w:val="009306BC"/>
    <w:rsid w:val="0095152B"/>
    <w:rsid w:val="00962D66"/>
    <w:rsid w:val="00972D2F"/>
    <w:rsid w:val="009B46BD"/>
    <w:rsid w:val="009C3FA1"/>
    <w:rsid w:val="009E77E5"/>
    <w:rsid w:val="00A24CAF"/>
    <w:rsid w:val="00A71D39"/>
    <w:rsid w:val="00A72736"/>
    <w:rsid w:val="00A824CC"/>
    <w:rsid w:val="00AD7E7D"/>
    <w:rsid w:val="00AE0001"/>
    <w:rsid w:val="00AE7E56"/>
    <w:rsid w:val="00B772DD"/>
    <w:rsid w:val="00BA7A56"/>
    <w:rsid w:val="00BB6218"/>
    <w:rsid w:val="00BD0B12"/>
    <w:rsid w:val="00BE51D8"/>
    <w:rsid w:val="00BF0440"/>
    <w:rsid w:val="00C0143F"/>
    <w:rsid w:val="00C37660"/>
    <w:rsid w:val="00C8699C"/>
    <w:rsid w:val="00CC59CE"/>
    <w:rsid w:val="00CD1DA3"/>
    <w:rsid w:val="00CF6231"/>
    <w:rsid w:val="00D00246"/>
    <w:rsid w:val="00D36F8A"/>
    <w:rsid w:val="00D37169"/>
    <w:rsid w:val="00D87827"/>
    <w:rsid w:val="00DB0064"/>
    <w:rsid w:val="00DD103B"/>
    <w:rsid w:val="00E02008"/>
    <w:rsid w:val="00E13A45"/>
    <w:rsid w:val="00E606BE"/>
    <w:rsid w:val="00E66D3A"/>
    <w:rsid w:val="00ED1944"/>
    <w:rsid w:val="00F11B7F"/>
    <w:rsid w:val="00F32C5D"/>
    <w:rsid w:val="00F47E1D"/>
    <w:rsid w:val="00F81E64"/>
    <w:rsid w:val="00F979BB"/>
    <w:rsid w:val="00FB2B8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694C16"/>
  <w15:docId w15:val="{0E4578DB-3983-4A57-99A7-3AD00883A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erex"/>
    <w:qFormat/>
    <w:rsid w:val="0020378E"/>
    <w:pPr>
      <w:spacing w:line="339" w:lineRule="exact"/>
    </w:pPr>
    <w:rPr>
      <w:rFonts w:ascii="Times New Roman" w:hAnsi="Times New Roman" w:cs="Times New Roman"/>
      <w:sz w:val="26"/>
      <w:szCs w:val="26"/>
    </w:rPr>
  </w:style>
  <w:style w:type="paragraph" w:styleId="Nadpis1">
    <w:name w:val="heading 1"/>
    <w:basedOn w:val="Normln"/>
    <w:next w:val="Normln"/>
    <w:link w:val="Nadpis1Char"/>
    <w:uiPriority w:val="9"/>
    <w:qFormat/>
    <w:rsid w:val="00C8699C"/>
    <w:pPr>
      <w:keepNext/>
      <w:keepLines/>
      <w:spacing w:before="1080" w:after="840" w:line="240" w:lineRule="auto"/>
      <w:outlineLvl w:val="0"/>
    </w:pPr>
    <w:rPr>
      <w:rFonts w:ascii="Arial" w:eastAsiaTheme="majorEastAsia" w:hAnsi="Arial" w:cstheme="majorBidi"/>
      <w:color w:val="023E88"/>
      <w:sz w:val="44"/>
      <w:szCs w:val="44"/>
    </w:rPr>
  </w:style>
  <w:style w:type="paragraph" w:styleId="Nadpis2">
    <w:name w:val="heading 2"/>
    <w:basedOn w:val="Normln"/>
    <w:next w:val="Normln"/>
    <w:link w:val="Nadpis2Char"/>
    <w:uiPriority w:val="9"/>
    <w:qFormat/>
    <w:rsid w:val="0044154F"/>
    <w:pPr>
      <w:spacing w:before="480" w:after="360"/>
      <w:outlineLvl w:val="1"/>
    </w:pPr>
    <w:rPr>
      <w:rFonts w:ascii="Arial" w:hAnsi="Arial" w:cs="Arial"/>
      <w:color w:val="023E88"/>
    </w:rPr>
  </w:style>
  <w:style w:type="paragraph" w:styleId="Nadpis3">
    <w:name w:val="heading 3"/>
    <w:basedOn w:val="Normln"/>
    <w:next w:val="Normln"/>
    <w:link w:val="Nadpis3Char"/>
    <w:uiPriority w:val="9"/>
    <w:qFormat/>
    <w:rsid w:val="00490102"/>
    <w:pPr>
      <w:spacing w:before="480" w:after="240"/>
      <w:outlineLvl w:val="2"/>
    </w:pPr>
    <w:rPr>
      <w:rFonts w:ascii="Arial" w:hAnsi="Arial" w:cs="Arial"/>
      <w:b/>
      <w:color w:val="023E88"/>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8699C"/>
    <w:rPr>
      <w:rFonts w:ascii="Arial" w:eastAsiaTheme="majorEastAsia" w:hAnsi="Arial" w:cstheme="majorBidi"/>
      <w:color w:val="023E88"/>
      <w:sz w:val="44"/>
      <w:szCs w:val="44"/>
    </w:rPr>
  </w:style>
  <w:style w:type="paragraph" w:styleId="Zhlav">
    <w:name w:val="header"/>
    <w:basedOn w:val="Normln"/>
    <w:link w:val="ZhlavChar"/>
    <w:uiPriority w:val="99"/>
    <w:unhideWhenUsed/>
    <w:rsid w:val="00AD7E7D"/>
    <w:pPr>
      <w:tabs>
        <w:tab w:val="center" w:pos="4536"/>
        <w:tab w:val="right" w:pos="9072"/>
      </w:tabs>
      <w:spacing w:after="0" w:line="240" w:lineRule="auto"/>
    </w:pPr>
    <w:rPr>
      <w:rFonts w:ascii="Arial" w:hAnsi="Arial" w:cs="Arial"/>
      <w:b/>
      <w:color w:val="023E88"/>
      <w:sz w:val="24"/>
      <w:szCs w:val="24"/>
    </w:rPr>
  </w:style>
  <w:style w:type="character" w:customStyle="1" w:styleId="ZhlavChar">
    <w:name w:val="Záhlaví Char"/>
    <w:basedOn w:val="Standardnpsmoodstavce"/>
    <w:link w:val="Zhlav"/>
    <w:uiPriority w:val="99"/>
    <w:rsid w:val="00AD7E7D"/>
    <w:rPr>
      <w:rFonts w:ascii="Arial" w:hAnsi="Arial" w:cs="Arial"/>
      <w:b/>
      <w:color w:val="023E88"/>
      <w:sz w:val="24"/>
      <w:szCs w:val="24"/>
    </w:rPr>
  </w:style>
  <w:style w:type="paragraph" w:styleId="Zpat">
    <w:name w:val="footer"/>
    <w:basedOn w:val="Normln"/>
    <w:link w:val="ZpatChar"/>
    <w:uiPriority w:val="99"/>
    <w:unhideWhenUsed/>
    <w:rsid w:val="007233B8"/>
    <w:pPr>
      <w:tabs>
        <w:tab w:val="center" w:pos="4536"/>
        <w:tab w:val="right" w:pos="9072"/>
      </w:tabs>
      <w:spacing w:after="0" w:line="240" w:lineRule="auto"/>
    </w:pPr>
    <w:rPr>
      <w:rFonts w:ascii="Arial" w:hAnsi="Arial" w:cs="Arial"/>
      <w:b/>
      <w:color w:val="023E88"/>
      <w:sz w:val="20"/>
      <w:szCs w:val="20"/>
    </w:rPr>
  </w:style>
  <w:style w:type="character" w:customStyle="1" w:styleId="ZpatChar">
    <w:name w:val="Zápatí Char"/>
    <w:basedOn w:val="Standardnpsmoodstavce"/>
    <w:link w:val="Zpat"/>
    <w:uiPriority w:val="99"/>
    <w:rsid w:val="007233B8"/>
    <w:rPr>
      <w:rFonts w:ascii="Arial" w:hAnsi="Arial" w:cs="Arial"/>
      <w:b/>
      <w:color w:val="023E88"/>
      <w:sz w:val="20"/>
      <w:szCs w:val="20"/>
    </w:rPr>
  </w:style>
  <w:style w:type="paragraph" w:styleId="Nzev">
    <w:name w:val="Title"/>
    <w:aliases w:val="Titulni nadpis"/>
    <w:basedOn w:val="Nadpis1"/>
    <w:next w:val="Normln"/>
    <w:link w:val="NzevChar"/>
    <w:uiPriority w:val="10"/>
    <w:qFormat/>
    <w:rsid w:val="00C8699C"/>
    <w:pPr>
      <w:spacing w:before="3000"/>
    </w:pPr>
    <w:rPr>
      <w:b/>
      <w:sz w:val="72"/>
      <w:szCs w:val="72"/>
    </w:rPr>
  </w:style>
  <w:style w:type="character" w:customStyle="1" w:styleId="NzevChar">
    <w:name w:val="Název Char"/>
    <w:aliases w:val="Titulni nadpis Char"/>
    <w:basedOn w:val="Standardnpsmoodstavce"/>
    <w:link w:val="Nzev"/>
    <w:uiPriority w:val="10"/>
    <w:rsid w:val="00C8699C"/>
    <w:rPr>
      <w:rFonts w:ascii="Arial" w:eastAsiaTheme="majorEastAsia" w:hAnsi="Arial" w:cstheme="majorBidi"/>
      <w:b/>
      <w:color w:val="023E88"/>
      <w:sz w:val="72"/>
      <w:szCs w:val="72"/>
    </w:rPr>
  </w:style>
  <w:style w:type="character" w:customStyle="1" w:styleId="Nadpis2Char">
    <w:name w:val="Nadpis 2 Char"/>
    <w:basedOn w:val="Standardnpsmoodstavce"/>
    <w:link w:val="Nadpis2"/>
    <w:uiPriority w:val="9"/>
    <w:rsid w:val="0044154F"/>
    <w:rPr>
      <w:rFonts w:ascii="Arial" w:hAnsi="Arial" w:cs="Arial"/>
      <w:color w:val="023E88"/>
      <w:sz w:val="26"/>
      <w:szCs w:val="26"/>
    </w:rPr>
  </w:style>
  <w:style w:type="character" w:customStyle="1" w:styleId="Nadpis3Char">
    <w:name w:val="Nadpis 3 Char"/>
    <w:basedOn w:val="Standardnpsmoodstavce"/>
    <w:link w:val="Nadpis3"/>
    <w:uiPriority w:val="9"/>
    <w:rsid w:val="00490102"/>
    <w:rPr>
      <w:rFonts w:ascii="Arial" w:hAnsi="Arial" w:cs="Arial"/>
      <w:b/>
      <w:color w:val="023E88"/>
    </w:rPr>
  </w:style>
  <w:style w:type="paragraph" w:customStyle="1" w:styleId="text">
    <w:name w:val="text"/>
    <w:basedOn w:val="Normln"/>
    <w:qFormat/>
    <w:rsid w:val="00725102"/>
    <w:pPr>
      <w:spacing w:after="240" w:line="280" w:lineRule="exact"/>
      <w:jc w:val="both"/>
    </w:pPr>
    <w:rPr>
      <w:sz w:val="22"/>
      <w:szCs w:val="20"/>
    </w:rPr>
  </w:style>
  <w:style w:type="paragraph" w:styleId="Titulek">
    <w:name w:val="caption"/>
    <w:aliases w:val="Popisky obrazku/tabulek"/>
    <w:basedOn w:val="Normln"/>
    <w:next w:val="Normln"/>
    <w:uiPriority w:val="35"/>
    <w:qFormat/>
    <w:rsid w:val="00725102"/>
    <w:pPr>
      <w:spacing w:after="200" w:line="240" w:lineRule="auto"/>
    </w:pPr>
    <w:rPr>
      <w:rFonts w:ascii="Arial" w:hAnsi="Arial" w:cs="Arial"/>
      <w:i/>
      <w:iCs/>
      <w:color w:val="12275D"/>
      <w:sz w:val="20"/>
      <w:szCs w:val="18"/>
    </w:rPr>
  </w:style>
  <w:style w:type="table" w:styleId="Mkatabulky">
    <w:name w:val="Table Grid"/>
    <w:basedOn w:val="Normlntabulka"/>
    <w:uiPriority w:val="39"/>
    <w:rsid w:val="002E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tabulky">
    <w:name w:val="záhlaví tabulky"/>
    <w:basedOn w:val="Normln"/>
    <w:qFormat/>
    <w:rsid w:val="005244EB"/>
    <w:pPr>
      <w:spacing w:after="0"/>
    </w:pPr>
    <w:rPr>
      <w:rFonts w:ascii="Arial" w:hAnsi="Arial" w:cs="Arial"/>
      <w:b/>
      <w:sz w:val="16"/>
      <w:szCs w:val="16"/>
    </w:rPr>
  </w:style>
  <w:style w:type="paragraph" w:customStyle="1" w:styleId="tlotabulky">
    <w:name w:val="tělo tabulky"/>
    <w:basedOn w:val="Normln"/>
    <w:qFormat/>
    <w:rsid w:val="005244EB"/>
    <w:pPr>
      <w:spacing w:after="0"/>
    </w:pPr>
    <w:rPr>
      <w:rFonts w:ascii="Arial" w:hAnsi="Arial" w:cs="Arial"/>
      <w:sz w:val="16"/>
      <w:szCs w:val="16"/>
    </w:rPr>
  </w:style>
  <w:style w:type="paragraph" w:styleId="Citt">
    <w:name w:val="Quote"/>
    <w:aliases w:val="Citat"/>
    <w:basedOn w:val="Normln"/>
    <w:next w:val="Normln"/>
    <w:link w:val="CittChar"/>
    <w:uiPriority w:val="29"/>
    <w:qFormat/>
    <w:rsid w:val="00D87827"/>
    <w:pPr>
      <w:spacing w:before="360" w:after="360" w:line="300" w:lineRule="exact"/>
      <w:ind w:right="4111"/>
    </w:pPr>
    <w:rPr>
      <w:rFonts w:ascii="Arial" w:hAnsi="Arial" w:cs="Arial"/>
      <w:i/>
      <w:iCs/>
      <w:color w:val="404040" w:themeColor="text1" w:themeTint="BF"/>
      <w:sz w:val="22"/>
      <w:szCs w:val="22"/>
    </w:rPr>
  </w:style>
  <w:style w:type="character" w:customStyle="1" w:styleId="CittChar">
    <w:name w:val="Citát Char"/>
    <w:aliases w:val="Citat Char"/>
    <w:basedOn w:val="Standardnpsmoodstavce"/>
    <w:link w:val="Citt"/>
    <w:uiPriority w:val="29"/>
    <w:rsid w:val="00D87827"/>
    <w:rPr>
      <w:rFonts w:ascii="Arial" w:hAnsi="Arial" w:cs="Arial"/>
      <w:i/>
      <w:iCs/>
      <w:color w:val="404040" w:themeColor="text1" w:themeTint="BF"/>
    </w:rPr>
  </w:style>
  <w:style w:type="paragraph" w:customStyle="1" w:styleId="Nadpiskontakt">
    <w:name w:val="Nadpis kontakt"/>
    <w:basedOn w:val="Normln"/>
    <w:qFormat/>
    <w:rsid w:val="00114637"/>
    <w:pPr>
      <w:spacing w:before="960" w:after="120"/>
    </w:pPr>
    <w:rPr>
      <w:rFonts w:ascii="Arial" w:hAnsi="Arial" w:cs="Arial"/>
      <w:b/>
      <w:color w:val="023E88"/>
    </w:rPr>
  </w:style>
  <w:style w:type="paragraph" w:customStyle="1" w:styleId="kontaktjmno">
    <w:name w:val="kontakt jméno"/>
    <w:basedOn w:val="Normln"/>
    <w:qFormat/>
    <w:rsid w:val="00114637"/>
    <w:pPr>
      <w:spacing w:before="60" w:after="0"/>
    </w:pPr>
    <w:rPr>
      <w:b/>
      <w:color w:val="023E88"/>
      <w:sz w:val="22"/>
    </w:rPr>
  </w:style>
  <w:style w:type="paragraph" w:customStyle="1" w:styleId="kontaktostatn">
    <w:name w:val="kontakt ostatní"/>
    <w:basedOn w:val="Normln"/>
    <w:qFormat/>
    <w:rsid w:val="00114637"/>
    <w:pPr>
      <w:spacing w:after="0" w:line="240" w:lineRule="auto"/>
    </w:pPr>
    <w:rPr>
      <w:color w:val="023E88"/>
      <w:sz w:val="22"/>
    </w:rPr>
  </w:style>
  <w:style w:type="paragraph" w:customStyle="1" w:styleId="Kontaktodborngarant">
    <w:name w:val="Kontakt odborný garant"/>
    <w:basedOn w:val="kontaktjmno"/>
    <w:qFormat/>
    <w:rsid w:val="00114637"/>
    <w:pPr>
      <w:spacing w:before="240"/>
    </w:pPr>
  </w:style>
  <w:style w:type="paragraph" w:styleId="Textbubliny">
    <w:name w:val="Balloon Text"/>
    <w:basedOn w:val="Normln"/>
    <w:link w:val="TextbublinyChar"/>
    <w:uiPriority w:val="99"/>
    <w:semiHidden/>
    <w:unhideWhenUsed/>
    <w:rsid w:val="00A824CC"/>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A824CC"/>
    <w:rPr>
      <w:rFonts w:ascii="Lucida Grande CE" w:hAnsi="Lucida Grande CE" w:cs="Lucida Grande CE"/>
      <w:sz w:val="18"/>
      <w:szCs w:val="18"/>
    </w:rPr>
  </w:style>
  <w:style w:type="paragraph" w:styleId="Vrazncitt">
    <w:name w:val="Intense Quote"/>
    <w:basedOn w:val="Normln"/>
    <w:next w:val="Normln"/>
    <w:link w:val="VrazncittChar"/>
    <w:uiPriority w:val="30"/>
    <w:qFormat/>
    <w:rsid w:val="0051267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VrazncittChar">
    <w:name w:val="Výrazný citát Char"/>
    <w:basedOn w:val="Standardnpsmoodstavce"/>
    <w:link w:val="Vrazncitt"/>
    <w:uiPriority w:val="30"/>
    <w:rsid w:val="00512676"/>
    <w:rPr>
      <w:rFonts w:ascii="Times New Roman" w:hAnsi="Times New Roman" w:cs="Times New Roman"/>
      <w:i/>
      <w:i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cid:image001.png@01D68699.8E927710"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353;ablony%20a%20loga\CHMU-sablona-tiskova-zprava.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data\Shrnuti_roku_2015\Byliny\TrezalkaTeckovan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ata\Shrnuti_roku_2015\Byliny\VrbkaUzkolist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Vystupy_tio\sloupe&#269;kov&#253;_graf\sloupe&#269;kov&#253;_graf_2015-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Počáte</a:t>
            </a:r>
            <a:r>
              <a:rPr lang="cs-CZ"/>
              <a:t>k kvetení třezalky tečkované</a:t>
            </a:r>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lineChart>
        <c:grouping val="standard"/>
        <c:varyColors val="0"/>
        <c:ser>
          <c:idx val="0"/>
          <c:order val="0"/>
          <c:tx>
            <c:strRef>
              <c:f>Porovnani_2020_2019!$W$1</c:f>
              <c:strCache>
                <c:ptCount val="1"/>
                <c:pt idx="0">
                  <c:v>2019</c:v>
                </c:pt>
              </c:strCache>
            </c:strRef>
          </c:tx>
          <c:spPr>
            <a:ln w="28575" cap="rnd">
              <a:solidFill>
                <a:schemeClr val="accent1"/>
              </a:solidFill>
              <a:round/>
            </a:ln>
            <a:effectLst/>
          </c:spPr>
          <c:marker>
            <c:symbol val="none"/>
          </c:marker>
          <c:cat>
            <c:strRef>
              <c:f>Porovnani_2020_2019!$V$2:$V$16</c:f>
              <c:strCache>
                <c:ptCount val="15"/>
                <c:pt idx="0">
                  <c:v>B1SIDO31</c:v>
                </c:pt>
                <c:pt idx="1">
                  <c:v>B2BREZ31</c:v>
                </c:pt>
                <c:pt idx="2">
                  <c:v>B2CRUD31</c:v>
                </c:pt>
                <c:pt idx="3">
                  <c:v>C2NEMY31</c:v>
                </c:pt>
                <c:pt idx="4">
                  <c:v>H1MACH31</c:v>
                </c:pt>
                <c:pt idx="5">
                  <c:v>H2BELE31</c:v>
                </c:pt>
                <c:pt idx="6">
                  <c:v>L1PLZB31</c:v>
                </c:pt>
                <c:pt idx="7">
                  <c:v>L2PRIK31</c:v>
                </c:pt>
                <c:pt idx="8">
                  <c:v>L2ZBIR31</c:v>
                </c:pt>
                <c:pt idx="9">
                  <c:v>O1MLAD31</c:v>
                </c:pt>
                <c:pt idx="10">
                  <c:v>O2SOBO31</c:v>
                </c:pt>
                <c:pt idx="11">
                  <c:v>P1MSZE31</c:v>
                </c:pt>
                <c:pt idx="12">
                  <c:v>P2HOLE31</c:v>
                </c:pt>
                <c:pt idx="13">
                  <c:v>P3BENS31</c:v>
                </c:pt>
                <c:pt idx="14">
                  <c:v>U2FRYD31</c:v>
                </c:pt>
              </c:strCache>
            </c:strRef>
          </c:cat>
          <c:val>
            <c:numRef>
              <c:f>Porovnani_2020_2019!$W$2:$W$16</c:f>
              <c:numCache>
                <c:formatCode>General</c:formatCode>
                <c:ptCount val="15"/>
                <c:pt idx="0">
                  <c:v>169</c:v>
                </c:pt>
                <c:pt idx="1">
                  <c:v>150</c:v>
                </c:pt>
                <c:pt idx="2">
                  <c:v>170</c:v>
                </c:pt>
                <c:pt idx="3">
                  <c:v>162</c:v>
                </c:pt>
                <c:pt idx="4">
                  <c:v>174</c:v>
                </c:pt>
                <c:pt idx="5">
                  <c:v>163</c:v>
                </c:pt>
                <c:pt idx="6">
                  <c:v>169</c:v>
                </c:pt>
                <c:pt idx="7">
                  <c:v>169</c:v>
                </c:pt>
                <c:pt idx="8">
                  <c:v>168</c:v>
                </c:pt>
                <c:pt idx="9">
                  <c:v>166</c:v>
                </c:pt>
                <c:pt idx="10">
                  <c:v>175</c:v>
                </c:pt>
                <c:pt idx="11">
                  <c:v>164</c:v>
                </c:pt>
                <c:pt idx="12">
                  <c:v>166</c:v>
                </c:pt>
                <c:pt idx="13">
                  <c:v>165</c:v>
                </c:pt>
                <c:pt idx="14">
                  <c:v>172</c:v>
                </c:pt>
              </c:numCache>
            </c:numRef>
          </c:val>
          <c:smooth val="0"/>
          <c:extLst>
            <c:ext xmlns:c16="http://schemas.microsoft.com/office/drawing/2014/chart" uri="{C3380CC4-5D6E-409C-BE32-E72D297353CC}">
              <c16:uniqueId val="{00000000-74DC-4E3C-8688-D1F4A5BBAC3D}"/>
            </c:ext>
          </c:extLst>
        </c:ser>
        <c:ser>
          <c:idx val="1"/>
          <c:order val="1"/>
          <c:tx>
            <c:strRef>
              <c:f>Porovnani_2020_2019!$X$1</c:f>
              <c:strCache>
                <c:ptCount val="1"/>
                <c:pt idx="0">
                  <c:v>2020</c:v>
                </c:pt>
              </c:strCache>
            </c:strRef>
          </c:tx>
          <c:spPr>
            <a:ln w="28575" cap="rnd">
              <a:solidFill>
                <a:schemeClr val="accent2"/>
              </a:solidFill>
              <a:round/>
            </a:ln>
            <a:effectLst/>
          </c:spPr>
          <c:marker>
            <c:symbol val="none"/>
          </c:marker>
          <c:cat>
            <c:strRef>
              <c:f>Porovnani_2020_2019!$V$2:$V$16</c:f>
              <c:strCache>
                <c:ptCount val="15"/>
                <c:pt idx="0">
                  <c:v>B1SIDO31</c:v>
                </c:pt>
                <c:pt idx="1">
                  <c:v>B2BREZ31</c:v>
                </c:pt>
                <c:pt idx="2">
                  <c:v>B2CRUD31</c:v>
                </c:pt>
                <c:pt idx="3">
                  <c:v>C2NEMY31</c:v>
                </c:pt>
                <c:pt idx="4">
                  <c:v>H1MACH31</c:v>
                </c:pt>
                <c:pt idx="5">
                  <c:v>H2BELE31</c:v>
                </c:pt>
                <c:pt idx="6">
                  <c:v>L1PLZB31</c:v>
                </c:pt>
                <c:pt idx="7">
                  <c:v>L2PRIK31</c:v>
                </c:pt>
                <c:pt idx="8">
                  <c:v>L2ZBIR31</c:v>
                </c:pt>
                <c:pt idx="9">
                  <c:v>O1MLAD31</c:v>
                </c:pt>
                <c:pt idx="10">
                  <c:v>O2SOBO31</c:v>
                </c:pt>
                <c:pt idx="11">
                  <c:v>P1MSZE31</c:v>
                </c:pt>
                <c:pt idx="12">
                  <c:v>P2HOLE31</c:v>
                </c:pt>
                <c:pt idx="13">
                  <c:v>P3BENS31</c:v>
                </c:pt>
                <c:pt idx="14">
                  <c:v>U2FRYD31</c:v>
                </c:pt>
              </c:strCache>
            </c:strRef>
          </c:cat>
          <c:val>
            <c:numRef>
              <c:f>Porovnani_2020_2019!$X$2:$X$16</c:f>
              <c:numCache>
                <c:formatCode>General</c:formatCode>
                <c:ptCount val="15"/>
                <c:pt idx="0">
                  <c:v>169</c:v>
                </c:pt>
                <c:pt idx="1">
                  <c:v>151</c:v>
                </c:pt>
                <c:pt idx="2">
                  <c:v>181</c:v>
                </c:pt>
                <c:pt idx="3">
                  <c:v>165</c:v>
                </c:pt>
                <c:pt idx="4">
                  <c:v>191</c:v>
                </c:pt>
                <c:pt idx="5">
                  <c:v>168</c:v>
                </c:pt>
                <c:pt idx="6">
                  <c:v>169</c:v>
                </c:pt>
                <c:pt idx="7">
                  <c:v>174</c:v>
                </c:pt>
                <c:pt idx="8">
                  <c:v>171</c:v>
                </c:pt>
                <c:pt idx="9">
                  <c:v>166</c:v>
                </c:pt>
                <c:pt idx="10">
                  <c:v>179</c:v>
                </c:pt>
                <c:pt idx="11">
                  <c:v>166</c:v>
                </c:pt>
                <c:pt idx="12">
                  <c:v>172</c:v>
                </c:pt>
                <c:pt idx="13">
                  <c:v>173</c:v>
                </c:pt>
                <c:pt idx="14">
                  <c:v>180</c:v>
                </c:pt>
              </c:numCache>
            </c:numRef>
          </c:val>
          <c:smooth val="0"/>
          <c:extLst>
            <c:ext xmlns:c16="http://schemas.microsoft.com/office/drawing/2014/chart" uri="{C3380CC4-5D6E-409C-BE32-E72D297353CC}">
              <c16:uniqueId val="{00000001-74DC-4E3C-8688-D1F4A5BBAC3D}"/>
            </c:ext>
          </c:extLst>
        </c:ser>
        <c:dLbls>
          <c:showLegendKey val="0"/>
          <c:showVal val="0"/>
          <c:showCatName val="0"/>
          <c:showSerName val="0"/>
          <c:showPercent val="0"/>
          <c:showBubbleSize val="0"/>
        </c:dLbls>
        <c:smooth val="0"/>
        <c:axId val="312423304"/>
        <c:axId val="312423696"/>
      </c:lineChart>
      <c:catAx>
        <c:axId val="312423304"/>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US"/>
                  <a:t>Fenologická stanice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2423696"/>
        <c:crosses val="autoZero"/>
        <c:auto val="1"/>
        <c:lblAlgn val="ctr"/>
        <c:lblOffset val="100"/>
        <c:noMultiLvlLbl val="0"/>
      </c:catAx>
      <c:valAx>
        <c:axId val="312423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cs-CZ"/>
                  <a:t>Pořadový den v roce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2423304"/>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Počátek kvetení vrbky úzkolisté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List1!$V$1</c:f>
              <c:strCache>
                <c:ptCount val="1"/>
                <c:pt idx="0">
                  <c:v>2019</c:v>
                </c:pt>
              </c:strCache>
            </c:strRef>
          </c:tx>
          <c:spPr>
            <a:ln w="28575" cap="rnd">
              <a:solidFill>
                <a:schemeClr val="accent1"/>
              </a:solidFill>
              <a:round/>
            </a:ln>
            <a:effectLst/>
          </c:spPr>
          <c:marker>
            <c:symbol val="none"/>
          </c:marker>
          <c:cat>
            <c:strRef>
              <c:f>List1!$U$2:$U$8</c:f>
              <c:strCache>
                <c:ptCount val="7"/>
                <c:pt idx="0">
                  <c:v>C2NEMY31</c:v>
                </c:pt>
                <c:pt idx="1">
                  <c:v>H2BELE31</c:v>
                </c:pt>
                <c:pt idx="2">
                  <c:v>L2ZBIR31</c:v>
                </c:pt>
                <c:pt idx="3">
                  <c:v>O1MLAD31</c:v>
                </c:pt>
                <c:pt idx="4">
                  <c:v>O2SOBO31</c:v>
                </c:pt>
                <c:pt idx="5">
                  <c:v>P1MSZE31</c:v>
                </c:pt>
                <c:pt idx="6">
                  <c:v>P2DESN31</c:v>
                </c:pt>
              </c:strCache>
            </c:strRef>
          </c:cat>
          <c:val>
            <c:numRef>
              <c:f>List1!$V$2:$V$8</c:f>
              <c:numCache>
                <c:formatCode>General</c:formatCode>
                <c:ptCount val="7"/>
                <c:pt idx="0">
                  <c:v>166</c:v>
                </c:pt>
                <c:pt idx="1">
                  <c:v>158</c:v>
                </c:pt>
                <c:pt idx="2">
                  <c:v>175</c:v>
                </c:pt>
                <c:pt idx="3">
                  <c:v>163</c:v>
                </c:pt>
                <c:pt idx="4">
                  <c:v>175</c:v>
                </c:pt>
                <c:pt idx="5">
                  <c:v>161</c:v>
                </c:pt>
                <c:pt idx="6">
                  <c:v>186</c:v>
                </c:pt>
              </c:numCache>
            </c:numRef>
          </c:val>
          <c:smooth val="0"/>
          <c:extLst>
            <c:ext xmlns:c16="http://schemas.microsoft.com/office/drawing/2014/chart" uri="{C3380CC4-5D6E-409C-BE32-E72D297353CC}">
              <c16:uniqueId val="{00000000-90ED-4ADC-8C33-2D73433FCEE4}"/>
            </c:ext>
          </c:extLst>
        </c:ser>
        <c:ser>
          <c:idx val="1"/>
          <c:order val="1"/>
          <c:tx>
            <c:strRef>
              <c:f>List1!$W$1</c:f>
              <c:strCache>
                <c:ptCount val="1"/>
                <c:pt idx="0">
                  <c:v>2020</c:v>
                </c:pt>
              </c:strCache>
            </c:strRef>
          </c:tx>
          <c:spPr>
            <a:ln w="28575" cap="rnd">
              <a:solidFill>
                <a:schemeClr val="accent2"/>
              </a:solidFill>
              <a:round/>
            </a:ln>
            <a:effectLst/>
          </c:spPr>
          <c:marker>
            <c:symbol val="none"/>
          </c:marker>
          <c:cat>
            <c:strRef>
              <c:f>List1!$U$2:$U$8</c:f>
              <c:strCache>
                <c:ptCount val="7"/>
                <c:pt idx="0">
                  <c:v>C2NEMY31</c:v>
                </c:pt>
                <c:pt idx="1">
                  <c:v>H2BELE31</c:v>
                </c:pt>
                <c:pt idx="2">
                  <c:v>L2ZBIR31</c:v>
                </c:pt>
                <c:pt idx="3">
                  <c:v>O1MLAD31</c:v>
                </c:pt>
                <c:pt idx="4">
                  <c:v>O2SOBO31</c:v>
                </c:pt>
                <c:pt idx="5">
                  <c:v>P1MSZE31</c:v>
                </c:pt>
                <c:pt idx="6">
                  <c:v>P2DESN31</c:v>
                </c:pt>
              </c:strCache>
            </c:strRef>
          </c:cat>
          <c:val>
            <c:numRef>
              <c:f>List1!$W$2:$W$8</c:f>
              <c:numCache>
                <c:formatCode>General</c:formatCode>
                <c:ptCount val="7"/>
                <c:pt idx="0">
                  <c:v>168</c:v>
                </c:pt>
                <c:pt idx="1">
                  <c:v>161</c:v>
                </c:pt>
                <c:pt idx="2">
                  <c:v>180</c:v>
                </c:pt>
                <c:pt idx="3">
                  <c:v>167</c:v>
                </c:pt>
                <c:pt idx="4">
                  <c:v>179</c:v>
                </c:pt>
                <c:pt idx="5">
                  <c:v>161</c:v>
                </c:pt>
                <c:pt idx="6">
                  <c:v>201</c:v>
                </c:pt>
              </c:numCache>
            </c:numRef>
          </c:val>
          <c:smooth val="0"/>
          <c:extLst>
            <c:ext xmlns:c16="http://schemas.microsoft.com/office/drawing/2014/chart" uri="{C3380CC4-5D6E-409C-BE32-E72D297353CC}">
              <c16:uniqueId val="{00000001-90ED-4ADC-8C33-2D73433FCEE4}"/>
            </c:ext>
          </c:extLst>
        </c:ser>
        <c:dLbls>
          <c:showLegendKey val="0"/>
          <c:showVal val="0"/>
          <c:showCatName val="0"/>
          <c:showSerName val="0"/>
          <c:showPercent val="0"/>
          <c:showBubbleSize val="0"/>
        </c:dLbls>
        <c:smooth val="0"/>
        <c:axId val="52120904"/>
        <c:axId val="52121296"/>
      </c:lineChart>
      <c:catAx>
        <c:axId val="52120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Fenologická stanice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121296"/>
        <c:crosses val="autoZero"/>
        <c:auto val="1"/>
        <c:lblAlgn val="ctr"/>
        <c:lblOffset val="100"/>
        <c:noMultiLvlLbl val="0"/>
      </c:catAx>
      <c:valAx>
        <c:axId val="52121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Pořadový den v roce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120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b="1" baseline="0">
                <a:solidFill>
                  <a:srgbClr val="14387F"/>
                </a:solidFill>
                <a:latin typeface="Arial" panose="020B0604020202020204" pitchFamily="34" charset="0"/>
                <a:cs typeface="Arial" panose="020B0604020202020204" pitchFamily="34" charset="0"/>
              </a:defRPr>
            </a:pPr>
            <a:r>
              <a:rPr lang="cs-CZ" b="1" baseline="0" dirty="0">
                <a:solidFill>
                  <a:srgbClr val="14387F"/>
                </a:solidFill>
                <a:latin typeface="Arial" panose="020B0604020202020204" pitchFamily="34" charset="0"/>
                <a:cs typeface="Arial" panose="020B0604020202020204" pitchFamily="34" charset="0"/>
              </a:rPr>
              <a:t>Stav hladiny v mělkých vrtech v letech 2018-2020</a:t>
            </a:r>
          </a:p>
        </c:rich>
      </c:tx>
      <c:layout>
        <c:manualLayout>
          <c:xMode val="edge"/>
          <c:yMode val="edge"/>
          <c:x val="5.0178912821082548E-2"/>
          <c:y val="5.1503603486028338E-2"/>
        </c:manualLayout>
      </c:layout>
      <c:overlay val="1"/>
    </c:title>
    <c:autoTitleDeleted val="0"/>
    <c:plotArea>
      <c:layout>
        <c:manualLayout>
          <c:layoutTarget val="inner"/>
          <c:xMode val="edge"/>
          <c:yMode val="edge"/>
          <c:x val="0.10459685039370079"/>
          <c:y val="0.19495960305789278"/>
          <c:w val="0.87680688062140377"/>
          <c:h val="0.60576771653543304"/>
        </c:manualLayout>
      </c:layout>
      <c:barChart>
        <c:barDir val="col"/>
        <c:grouping val="clustered"/>
        <c:varyColors val="0"/>
        <c:ser>
          <c:idx val="1"/>
          <c:order val="0"/>
          <c:tx>
            <c:v>2018</c:v>
          </c:tx>
          <c:spPr>
            <a:solidFill>
              <a:srgbClr val="E73331"/>
            </a:solidFill>
            <a:ln>
              <a:noFill/>
            </a:ln>
          </c:spPr>
          <c:invertIfNegative val="0"/>
          <c:cat>
            <c:strRef>
              <c:f>List1!$A$5:$A$55</c:f>
              <c:strCache>
                <c:ptCount val="51"/>
                <c:pt idx="0">
                  <c:v>1t</c:v>
                </c:pt>
                <c:pt idx="1">
                  <c:v>2t</c:v>
                </c:pt>
                <c:pt idx="2">
                  <c:v>3t</c:v>
                </c:pt>
                <c:pt idx="3">
                  <c:v>4t</c:v>
                </c:pt>
                <c:pt idx="4">
                  <c:v>5t</c:v>
                </c:pt>
                <c:pt idx="5">
                  <c:v>6t</c:v>
                </c:pt>
                <c:pt idx="6">
                  <c:v>7t</c:v>
                </c:pt>
                <c:pt idx="7">
                  <c:v>8t</c:v>
                </c:pt>
                <c:pt idx="8">
                  <c:v>9t</c:v>
                </c:pt>
                <c:pt idx="9">
                  <c:v>10t</c:v>
                </c:pt>
                <c:pt idx="10">
                  <c:v>11t</c:v>
                </c:pt>
                <c:pt idx="11">
                  <c:v>12t</c:v>
                </c:pt>
                <c:pt idx="12">
                  <c:v>13t</c:v>
                </c:pt>
                <c:pt idx="13">
                  <c:v>14t</c:v>
                </c:pt>
                <c:pt idx="14">
                  <c:v>15t</c:v>
                </c:pt>
                <c:pt idx="15">
                  <c:v>16t</c:v>
                </c:pt>
                <c:pt idx="16">
                  <c:v>17t</c:v>
                </c:pt>
                <c:pt idx="17">
                  <c:v>18t</c:v>
                </c:pt>
                <c:pt idx="18">
                  <c:v>19t</c:v>
                </c:pt>
                <c:pt idx="19">
                  <c:v>20t</c:v>
                </c:pt>
                <c:pt idx="20">
                  <c:v>21t</c:v>
                </c:pt>
                <c:pt idx="21">
                  <c:v>22t</c:v>
                </c:pt>
                <c:pt idx="22">
                  <c:v>23t</c:v>
                </c:pt>
                <c:pt idx="23">
                  <c:v>24t</c:v>
                </c:pt>
                <c:pt idx="24">
                  <c:v>25t</c:v>
                </c:pt>
                <c:pt idx="25">
                  <c:v>26t</c:v>
                </c:pt>
                <c:pt idx="26">
                  <c:v>27t</c:v>
                </c:pt>
                <c:pt idx="27">
                  <c:v>28t</c:v>
                </c:pt>
                <c:pt idx="28">
                  <c:v>29t</c:v>
                </c:pt>
                <c:pt idx="29">
                  <c:v>30t</c:v>
                </c:pt>
                <c:pt idx="30">
                  <c:v>31t</c:v>
                </c:pt>
                <c:pt idx="31">
                  <c:v>32t</c:v>
                </c:pt>
                <c:pt idx="32">
                  <c:v>33t</c:v>
                </c:pt>
                <c:pt idx="33">
                  <c:v>34t</c:v>
                </c:pt>
                <c:pt idx="34">
                  <c:v>35t</c:v>
                </c:pt>
                <c:pt idx="35">
                  <c:v>36t</c:v>
                </c:pt>
                <c:pt idx="36">
                  <c:v>37t</c:v>
                </c:pt>
                <c:pt idx="37">
                  <c:v>38t</c:v>
                </c:pt>
                <c:pt idx="38">
                  <c:v>39t</c:v>
                </c:pt>
                <c:pt idx="39">
                  <c:v>40t</c:v>
                </c:pt>
                <c:pt idx="40">
                  <c:v>41t</c:v>
                </c:pt>
                <c:pt idx="41">
                  <c:v>42t</c:v>
                </c:pt>
                <c:pt idx="42">
                  <c:v>43t</c:v>
                </c:pt>
                <c:pt idx="43">
                  <c:v>44t</c:v>
                </c:pt>
                <c:pt idx="44">
                  <c:v>45t</c:v>
                </c:pt>
                <c:pt idx="45">
                  <c:v>46t</c:v>
                </c:pt>
                <c:pt idx="46">
                  <c:v>47t</c:v>
                </c:pt>
                <c:pt idx="47">
                  <c:v>48t</c:v>
                </c:pt>
                <c:pt idx="48">
                  <c:v>49t</c:v>
                </c:pt>
                <c:pt idx="49">
                  <c:v>50t</c:v>
                </c:pt>
                <c:pt idx="50">
                  <c:v>51t</c:v>
                </c:pt>
              </c:strCache>
            </c:strRef>
          </c:cat>
          <c:val>
            <c:numRef>
              <c:f>List1!$F$5:$F$56</c:f>
              <c:numCache>
                <c:formatCode>General</c:formatCode>
                <c:ptCount val="52"/>
                <c:pt idx="0">
                  <c:v>40</c:v>
                </c:pt>
                <c:pt idx="1">
                  <c:v>41</c:v>
                </c:pt>
                <c:pt idx="2">
                  <c:v>44</c:v>
                </c:pt>
                <c:pt idx="3">
                  <c:v>43</c:v>
                </c:pt>
                <c:pt idx="4">
                  <c:v>51</c:v>
                </c:pt>
                <c:pt idx="5">
                  <c:v>58</c:v>
                </c:pt>
                <c:pt idx="6">
                  <c:v>63</c:v>
                </c:pt>
                <c:pt idx="7">
                  <c:v>72</c:v>
                </c:pt>
                <c:pt idx="8">
                  <c:v>76</c:v>
                </c:pt>
                <c:pt idx="9">
                  <c:v>68</c:v>
                </c:pt>
                <c:pt idx="10">
                  <c:v>72</c:v>
                </c:pt>
                <c:pt idx="11">
                  <c:v>76</c:v>
                </c:pt>
                <c:pt idx="12">
                  <c:v>78</c:v>
                </c:pt>
                <c:pt idx="13">
                  <c:v>80</c:v>
                </c:pt>
                <c:pt idx="14">
                  <c:v>82</c:v>
                </c:pt>
                <c:pt idx="15">
                  <c:v>83</c:v>
                </c:pt>
                <c:pt idx="16">
                  <c:v>86</c:v>
                </c:pt>
                <c:pt idx="17">
                  <c:v>88</c:v>
                </c:pt>
                <c:pt idx="18">
                  <c:v>87</c:v>
                </c:pt>
                <c:pt idx="19">
                  <c:v>85</c:v>
                </c:pt>
                <c:pt idx="20">
                  <c:v>83</c:v>
                </c:pt>
                <c:pt idx="21">
                  <c:v>83</c:v>
                </c:pt>
                <c:pt idx="22">
                  <c:v>78</c:v>
                </c:pt>
                <c:pt idx="23">
                  <c:v>82</c:v>
                </c:pt>
                <c:pt idx="24">
                  <c:v>82</c:v>
                </c:pt>
                <c:pt idx="25">
                  <c:v>84</c:v>
                </c:pt>
                <c:pt idx="26">
                  <c:v>85</c:v>
                </c:pt>
                <c:pt idx="27">
                  <c:v>84</c:v>
                </c:pt>
                <c:pt idx="28">
                  <c:v>85</c:v>
                </c:pt>
                <c:pt idx="29">
                  <c:v>87</c:v>
                </c:pt>
                <c:pt idx="30">
                  <c:v>89</c:v>
                </c:pt>
                <c:pt idx="31">
                  <c:v>89</c:v>
                </c:pt>
                <c:pt idx="32">
                  <c:v>90</c:v>
                </c:pt>
                <c:pt idx="33">
                  <c:v>89</c:v>
                </c:pt>
                <c:pt idx="34">
                  <c:v>84</c:v>
                </c:pt>
                <c:pt idx="35">
                  <c:v>85</c:v>
                </c:pt>
                <c:pt idx="36">
                  <c:v>86</c:v>
                </c:pt>
                <c:pt idx="37">
                  <c:v>85</c:v>
                </c:pt>
                <c:pt idx="38">
                  <c:v>86</c:v>
                </c:pt>
                <c:pt idx="39">
                  <c:v>87</c:v>
                </c:pt>
                <c:pt idx="40">
                  <c:v>88</c:v>
                </c:pt>
                <c:pt idx="41">
                  <c:v>87</c:v>
                </c:pt>
                <c:pt idx="42">
                  <c:v>84</c:v>
                </c:pt>
                <c:pt idx="43">
                  <c:v>85</c:v>
                </c:pt>
                <c:pt idx="44">
                  <c:v>87</c:v>
                </c:pt>
                <c:pt idx="45">
                  <c:v>88</c:v>
                </c:pt>
                <c:pt idx="46">
                  <c:v>89</c:v>
                </c:pt>
                <c:pt idx="47">
                  <c:v>87</c:v>
                </c:pt>
                <c:pt idx="48">
                  <c:v>86</c:v>
                </c:pt>
                <c:pt idx="49">
                  <c:v>88</c:v>
                </c:pt>
                <c:pt idx="50">
                  <c:v>79</c:v>
                </c:pt>
                <c:pt idx="51">
                  <c:v>78</c:v>
                </c:pt>
              </c:numCache>
            </c:numRef>
          </c:val>
          <c:extLst>
            <c:ext xmlns:c16="http://schemas.microsoft.com/office/drawing/2014/chart" uri="{C3380CC4-5D6E-409C-BE32-E72D297353CC}">
              <c16:uniqueId val="{00000000-0F2B-476A-93E7-DF309DF348F5}"/>
            </c:ext>
          </c:extLst>
        </c:ser>
        <c:ser>
          <c:idx val="0"/>
          <c:order val="1"/>
          <c:tx>
            <c:v>2019</c:v>
          </c:tx>
          <c:spPr>
            <a:solidFill>
              <a:srgbClr val="B2B2B2"/>
            </a:solidFill>
          </c:spPr>
          <c:invertIfNegative val="0"/>
          <c:cat>
            <c:strRef>
              <c:f>List1!$A$5:$A$55</c:f>
              <c:strCache>
                <c:ptCount val="51"/>
                <c:pt idx="0">
                  <c:v>1t</c:v>
                </c:pt>
                <c:pt idx="1">
                  <c:v>2t</c:v>
                </c:pt>
                <c:pt idx="2">
                  <c:v>3t</c:v>
                </c:pt>
                <c:pt idx="3">
                  <c:v>4t</c:v>
                </c:pt>
                <c:pt idx="4">
                  <c:v>5t</c:v>
                </c:pt>
                <c:pt idx="5">
                  <c:v>6t</c:v>
                </c:pt>
                <c:pt idx="6">
                  <c:v>7t</c:v>
                </c:pt>
                <c:pt idx="7">
                  <c:v>8t</c:v>
                </c:pt>
                <c:pt idx="8">
                  <c:v>9t</c:v>
                </c:pt>
                <c:pt idx="9">
                  <c:v>10t</c:v>
                </c:pt>
                <c:pt idx="10">
                  <c:v>11t</c:v>
                </c:pt>
                <c:pt idx="11">
                  <c:v>12t</c:v>
                </c:pt>
                <c:pt idx="12">
                  <c:v>13t</c:v>
                </c:pt>
                <c:pt idx="13">
                  <c:v>14t</c:v>
                </c:pt>
                <c:pt idx="14">
                  <c:v>15t</c:v>
                </c:pt>
                <c:pt idx="15">
                  <c:v>16t</c:v>
                </c:pt>
                <c:pt idx="16">
                  <c:v>17t</c:v>
                </c:pt>
                <c:pt idx="17">
                  <c:v>18t</c:v>
                </c:pt>
                <c:pt idx="18">
                  <c:v>19t</c:v>
                </c:pt>
                <c:pt idx="19">
                  <c:v>20t</c:v>
                </c:pt>
                <c:pt idx="20">
                  <c:v>21t</c:v>
                </c:pt>
                <c:pt idx="21">
                  <c:v>22t</c:v>
                </c:pt>
                <c:pt idx="22">
                  <c:v>23t</c:v>
                </c:pt>
                <c:pt idx="23">
                  <c:v>24t</c:v>
                </c:pt>
                <c:pt idx="24">
                  <c:v>25t</c:v>
                </c:pt>
                <c:pt idx="25">
                  <c:v>26t</c:v>
                </c:pt>
                <c:pt idx="26">
                  <c:v>27t</c:v>
                </c:pt>
                <c:pt idx="27">
                  <c:v>28t</c:v>
                </c:pt>
                <c:pt idx="28">
                  <c:v>29t</c:v>
                </c:pt>
                <c:pt idx="29">
                  <c:v>30t</c:v>
                </c:pt>
                <c:pt idx="30">
                  <c:v>31t</c:v>
                </c:pt>
                <c:pt idx="31">
                  <c:v>32t</c:v>
                </c:pt>
                <c:pt idx="32">
                  <c:v>33t</c:v>
                </c:pt>
                <c:pt idx="33">
                  <c:v>34t</c:v>
                </c:pt>
                <c:pt idx="34">
                  <c:v>35t</c:v>
                </c:pt>
                <c:pt idx="35">
                  <c:v>36t</c:v>
                </c:pt>
                <c:pt idx="36">
                  <c:v>37t</c:v>
                </c:pt>
                <c:pt idx="37">
                  <c:v>38t</c:v>
                </c:pt>
                <c:pt idx="38">
                  <c:v>39t</c:v>
                </c:pt>
                <c:pt idx="39">
                  <c:v>40t</c:v>
                </c:pt>
                <c:pt idx="40">
                  <c:v>41t</c:v>
                </c:pt>
                <c:pt idx="41">
                  <c:v>42t</c:v>
                </c:pt>
                <c:pt idx="42">
                  <c:v>43t</c:v>
                </c:pt>
                <c:pt idx="43">
                  <c:v>44t</c:v>
                </c:pt>
                <c:pt idx="44">
                  <c:v>45t</c:v>
                </c:pt>
                <c:pt idx="45">
                  <c:v>46t</c:v>
                </c:pt>
                <c:pt idx="46">
                  <c:v>47t</c:v>
                </c:pt>
                <c:pt idx="47">
                  <c:v>48t</c:v>
                </c:pt>
                <c:pt idx="48">
                  <c:v>49t</c:v>
                </c:pt>
                <c:pt idx="49">
                  <c:v>50t</c:v>
                </c:pt>
                <c:pt idx="50">
                  <c:v>51t</c:v>
                </c:pt>
              </c:strCache>
            </c:strRef>
          </c:cat>
          <c:val>
            <c:numRef>
              <c:f>List1!$G$5:$G$56</c:f>
              <c:numCache>
                <c:formatCode>General</c:formatCode>
                <c:ptCount val="52"/>
                <c:pt idx="0">
                  <c:v>73</c:v>
                </c:pt>
                <c:pt idx="1">
                  <c:v>63</c:v>
                </c:pt>
                <c:pt idx="2">
                  <c:v>69</c:v>
                </c:pt>
                <c:pt idx="3">
                  <c:v>74</c:v>
                </c:pt>
                <c:pt idx="4">
                  <c:v>69</c:v>
                </c:pt>
                <c:pt idx="5">
                  <c:v>62</c:v>
                </c:pt>
                <c:pt idx="6">
                  <c:v>65</c:v>
                </c:pt>
                <c:pt idx="7">
                  <c:v>67</c:v>
                </c:pt>
                <c:pt idx="8">
                  <c:v>71</c:v>
                </c:pt>
                <c:pt idx="9">
                  <c:v>68</c:v>
                </c:pt>
                <c:pt idx="10">
                  <c:v>69</c:v>
                </c:pt>
                <c:pt idx="11">
                  <c:v>78</c:v>
                </c:pt>
                <c:pt idx="12">
                  <c:v>82</c:v>
                </c:pt>
                <c:pt idx="13">
                  <c:v>86</c:v>
                </c:pt>
                <c:pt idx="14">
                  <c:v>89</c:v>
                </c:pt>
                <c:pt idx="15">
                  <c:v>90</c:v>
                </c:pt>
                <c:pt idx="16">
                  <c:v>86</c:v>
                </c:pt>
                <c:pt idx="17">
                  <c:v>86</c:v>
                </c:pt>
                <c:pt idx="18">
                  <c:v>81</c:v>
                </c:pt>
                <c:pt idx="19">
                  <c:v>67</c:v>
                </c:pt>
                <c:pt idx="20">
                  <c:v>60</c:v>
                </c:pt>
                <c:pt idx="21">
                  <c:v>64</c:v>
                </c:pt>
                <c:pt idx="22">
                  <c:v>69</c:v>
                </c:pt>
                <c:pt idx="23">
                  <c:v>72</c:v>
                </c:pt>
                <c:pt idx="24">
                  <c:v>77</c:v>
                </c:pt>
                <c:pt idx="25">
                  <c:v>82</c:v>
                </c:pt>
                <c:pt idx="26">
                  <c:v>86</c:v>
                </c:pt>
                <c:pt idx="27">
                  <c:v>86</c:v>
                </c:pt>
                <c:pt idx="28">
                  <c:v>87</c:v>
                </c:pt>
                <c:pt idx="29">
                  <c:v>86</c:v>
                </c:pt>
                <c:pt idx="30">
                  <c:v>85</c:v>
                </c:pt>
                <c:pt idx="31">
                  <c:v>82</c:v>
                </c:pt>
                <c:pt idx="32">
                  <c:v>81</c:v>
                </c:pt>
                <c:pt idx="33">
                  <c:v>82</c:v>
                </c:pt>
                <c:pt idx="34">
                  <c:v>79</c:v>
                </c:pt>
                <c:pt idx="35">
                  <c:v>73</c:v>
                </c:pt>
                <c:pt idx="36">
                  <c:v>77</c:v>
                </c:pt>
                <c:pt idx="37">
                  <c:v>79</c:v>
                </c:pt>
                <c:pt idx="38">
                  <c:v>79</c:v>
                </c:pt>
                <c:pt idx="39">
                  <c:v>73</c:v>
                </c:pt>
                <c:pt idx="40">
                  <c:v>74</c:v>
                </c:pt>
                <c:pt idx="41">
                  <c:v>76</c:v>
                </c:pt>
                <c:pt idx="42">
                  <c:v>78</c:v>
                </c:pt>
                <c:pt idx="43">
                  <c:v>79</c:v>
                </c:pt>
                <c:pt idx="44">
                  <c:v>74</c:v>
                </c:pt>
                <c:pt idx="45">
                  <c:v>74</c:v>
                </c:pt>
                <c:pt idx="46">
                  <c:v>77</c:v>
                </c:pt>
                <c:pt idx="47">
                  <c:v>80</c:v>
                </c:pt>
                <c:pt idx="48">
                  <c:v>82</c:v>
                </c:pt>
                <c:pt idx="49">
                  <c:v>83</c:v>
                </c:pt>
                <c:pt idx="50">
                  <c:v>72</c:v>
                </c:pt>
                <c:pt idx="51">
                  <c:v>74</c:v>
                </c:pt>
              </c:numCache>
            </c:numRef>
          </c:val>
          <c:extLst>
            <c:ext xmlns:c16="http://schemas.microsoft.com/office/drawing/2014/chart" uri="{C3380CC4-5D6E-409C-BE32-E72D297353CC}">
              <c16:uniqueId val="{00000001-0F2B-476A-93E7-DF309DF348F5}"/>
            </c:ext>
          </c:extLst>
        </c:ser>
        <c:ser>
          <c:idx val="2"/>
          <c:order val="2"/>
          <c:tx>
            <c:v>2020</c:v>
          </c:tx>
          <c:spPr>
            <a:solidFill>
              <a:srgbClr val="14387F"/>
            </a:solidFill>
          </c:spPr>
          <c:invertIfNegative val="0"/>
          <c:cat>
            <c:strRef>
              <c:f>List1!$A$5:$A$55</c:f>
              <c:strCache>
                <c:ptCount val="51"/>
                <c:pt idx="0">
                  <c:v>1t</c:v>
                </c:pt>
                <c:pt idx="1">
                  <c:v>2t</c:v>
                </c:pt>
                <c:pt idx="2">
                  <c:v>3t</c:v>
                </c:pt>
                <c:pt idx="3">
                  <c:v>4t</c:v>
                </c:pt>
                <c:pt idx="4">
                  <c:v>5t</c:v>
                </c:pt>
                <c:pt idx="5">
                  <c:v>6t</c:v>
                </c:pt>
                <c:pt idx="6">
                  <c:v>7t</c:v>
                </c:pt>
                <c:pt idx="7">
                  <c:v>8t</c:v>
                </c:pt>
                <c:pt idx="8">
                  <c:v>9t</c:v>
                </c:pt>
                <c:pt idx="9">
                  <c:v>10t</c:v>
                </c:pt>
                <c:pt idx="10">
                  <c:v>11t</c:v>
                </c:pt>
                <c:pt idx="11">
                  <c:v>12t</c:v>
                </c:pt>
                <c:pt idx="12">
                  <c:v>13t</c:v>
                </c:pt>
                <c:pt idx="13">
                  <c:v>14t</c:v>
                </c:pt>
                <c:pt idx="14">
                  <c:v>15t</c:v>
                </c:pt>
                <c:pt idx="15">
                  <c:v>16t</c:v>
                </c:pt>
                <c:pt idx="16">
                  <c:v>17t</c:v>
                </c:pt>
                <c:pt idx="17">
                  <c:v>18t</c:v>
                </c:pt>
                <c:pt idx="18">
                  <c:v>19t</c:v>
                </c:pt>
                <c:pt idx="19">
                  <c:v>20t</c:v>
                </c:pt>
                <c:pt idx="20">
                  <c:v>21t</c:v>
                </c:pt>
                <c:pt idx="21">
                  <c:v>22t</c:v>
                </c:pt>
                <c:pt idx="22">
                  <c:v>23t</c:v>
                </c:pt>
                <c:pt idx="23">
                  <c:v>24t</c:v>
                </c:pt>
                <c:pt idx="24">
                  <c:v>25t</c:v>
                </c:pt>
                <c:pt idx="25">
                  <c:v>26t</c:v>
                </c:pt>
                <c:pt idx="26">
                  <c:v>27t</c:v>
                </c:pt>
                <c:pt idx="27">
                  <c:v>28t</c:v>
                </c:pt>
                <c:pt idx="28">
                  <c:v>29t</c:v>
                </c:pt>
                <c:pt idx="29">
                  <c:v>30t</c:v>
                </c:pt>
                <c:pt idx="30">
                  <c:v>31t</c:v>
                </c:pt>
                <c:pt idx="31">
                  <c:v>32t</c:v>
                </c:pt>
                <c:pt idx="32">
                  <c:v>33t</c:v>
                </c:pt>
                <c:pt idx="33">
                  <c:v>34t</c:v>
                </c:pt>
                <c:pt idx="34">
                  <c:v>35t</c:v>
                </c:pt>
                <c:pt idx="35">
                  <c:v>36t</c:v>
                </c:pt>
                <c:pt idx="36">
                  <c:v>37t</c:v>
                </c:pt>
                <c:pt idx="37">
                  <c:v>38t</c:v>
                </c:pt>
                <c:pt idx="38">
                  <c:v>39t</c:v>
                </c:pt>
                <c:pt idx="39">
                  <c:v>40t</c:v>
                </c:pt>
                <c:pt idx="40">
                  <c:v>41t</c:v>
                </c:pt>
                <c:pt idx="41">
                  <c:v>42t</c:v>
                </c:pt>
                <c:pt idx="42">
                  <c:v>43t</c:v>
                </c:pt>
                <c:pt idx="43">
                  <c:v>44t</c:v>
                </c:pt>
                <c:pt idx="44">
                  <c:v>45t</c:v>
                </c:pt>
                <c:pt idx="45">
                  <c:v>46t</c:v>
                </c:pt>
                <c:pt idx="46">
                  <c:v>47t</c:v>
                </c:pt>
                <c:pt idx="47">
                  <c:v>48t</c:v>
                </c:pt>
                <c:pt idx="48">
                  <c:v>49t</c:v>
                </c:pt>
                <c:pt idx="49">
                  <c:v>50t</c:v>
                </c:pt>
                <c:pt idx="50">
                  <c:v>51t</c:v>
                </c:pt>
              </c:strCache>
            </c:strRef>
          </c:cat>
          <c:val>
            <c:numRef>
              <c:f>List1!$H$5:$H$56</c:f>
              <c:numCache>
                <c:formatCode>General</c:formatCode>
                <c:ptCount val="52"/>
                <c:pt idx="0">
                  <c:v>79</c:v>
                </c:pt>
                <c:pt idx="1">
                  <c:v>81</c:v>
                </c:pt>
                <c:pt idx="2">
                  <c:v>82</c:v>
                </c:pt>
                <c:pt idx="3">
                  <c:v>83</c:v>
                </c:pt>
                <c:pt idx="4">
                  <c:v>65</c:v>
                </c:pt>
                <c:pt idx="5" formatCode="0">
                  <c:v>63</c:v>
                </c:pt>
                <c:pt idx="6" formatCode="0">
                  <c:v>68</c:v>
                </c:pt>
                <c:pt idx="7" formatCode="0">
                  <c:v>65</c:v>
                </c:pt>
                <c:pt idx="8" formatCode="0">
                  <c:v>64</c:v>
                </c:pt>
                <c:pt idx="9" formatCode="0">
                  <c:v>67</c:v>
                </c:pt>
                <c:pt idx="10" formatCode="0">
                  <c:v>75</c:v>
                </c:pt>
                <c:pt idx="11" formatCode="0">
                  <c:v>81</c:v>
                </c:pt>
                <c:pt idx="12" formatCode="0">
                  <c:v>85</c:v>
                </c:pt>
                <c:pt idx="13" formatCode="0">
                  <c:v>88</c:v>
                </c:pt>
                <c:pt idx="14" formatCode="0">
                  <c:v>89</c:v>
                </c:pt>
                <c:pt idx="15" formatCode="0">
                  <c:v>90</c:v>
                </c:pt>
                <c:pt idx="16" formatCode="0">
                  <c:v>90</c:v>
                </c:pt>
                <c:pt idx="17" formatCode="0">
                  <c:v>90</c:v>
                </c:pt>
                <c:pt idx="18" formatCode="0">
                  <c:v>85</c:v>
                </c:pt>
                <c:pt idx="19" formatCode="0">
                  <c:v>86</c:v>
                </c:pt>
                <c:pt idx="20" formatCode="0">
                  <c:v>80</c:v>
                </c:pt>
                <c:pt idx="21" formatCode="0">
                  <c:v>81</c:v>
                </c:pt>
                <c:pt idx="22" formatCode="0">
                  <c:v>78</c:v>
                </c:pt>
                <c:pt idx="23" formatCode="0">
                  <c:v>65</c:v>
                </c:pt>
                <c:pt idx="24" formatCode="0">
                  <c:v>58</c:v>
                </c:pt>
                <c:pt idx="25" formatCode="0">
                  <c:v>37.922764227642297</c:v>
                </c:pt>
                <c:pt idx="26" formatCode="0">
                  <c:v>35</c:v>
                </c:pt>
                <c:pt idx="27" formatCode="0">
                  <c:v>40.458167330677291</c:v>
                </c:pt>
                <c:pt idx="28" formatCode="0">
                  <c:v>44.53815261044177</c:v>
                </c:pt>
                <c:pt idx="29" formatCode="0">
                  <c:v>44.791164658634536</c:v>
                </c:pt>
                <c:pt idx="30" formatCode="0">
                  <c:v>51.365079365079367</c:v>
                </c:pt>
                <c:pt idx="31" formatCode="0">
                  <c:v>45.2734693877551</c:v>
                </c:pt>
                <c:pt idx="32" formatCode="0">
                  <c:v>48.729083665338642</c:v>
                </c:pt>
                <c:pt idx="33" formatCode="0">
                  <c:v>45.477911646586342</c:v>
                </c:pt>
                <c:pt idx="34" formatCode="0">
                  <c:v>49.145748987854248</c:v>
                </c:pt>
              </c:numCache>
            </c:numRef>
          </c:val>
          <c:extLst>
            <c:ext xmlns:c16="http://schemas.microsoft.com/office/drawing/2014/chart" uri="{C3380CC4-5D6E-409C-BE32-E72D297353CC}">
              <c16:uniqueId val="{00000002-0F2B-476A-93E7-DF309DF348F5}"/>
            </c:ext>
          </c:extLst>
        </c:ser>
        <c:dLbls>
          <c:showLegendKey val="0"/>
          <c:showVal val="0"/>
          <c:showCatName val="0"/>
          <c:showSerName val="0"/>
          <c:showPercent val="0"/>
          <c:showBubbleSize val="0"/>
        </c:dLbls>
        <c:gapWidth val="0"/>
        <c:axId val="45432832"/>
        <c:axId val="45434368"/>
      </c:barChart>
      <c:lineChart>
        <c:grouping val="standard"/>
        <c:varyColors val="0"/>
        <c:ser>
          <c:idx val="4"/>
          <c:order val="3"/>
          <c:tx>
            <c:strRef>
              <c:f>List1!$I$3</c:f>
              <c:strCache>
                <c:ptCount val="1"/>
                <c:pt idx="0">
                  <c:v>normál</c:v>
                </c:pt>
              </c:strCache>
            </c:strRef>
          </c:tx>
          <c:spPr>
            <a:ln w="31750">
              <a:solidFill>
                <a:srgbClr val="63C3D1"/>
              </a:solidFill>
            </a:ln>
          </c:spPr>
          <c:marker>
            <c:symbol val="none"/>
          </c:marker>
          <c:val>
            <c:numRef>
              <c:f>List1!$I$5:$I$56</c:f>
              <c:numCache>
                <c:formatCode>General</c:formatCode>
                <c:ptCount val="52"/>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numCache>
            </c:numRef>
          </c:val>
          <c:smooth val="0"/>
          <c:extLst>
            <c:ext xmlns:c16="http://schemas.microsoft.com/office/drawing/2014/chart" uri="{C3380CC4-5D6E-409C-BE32-E72D297353CC}">
              <c16:uniqueId val="{00000003-0F2B-476A-93E7-DF309DF348F5}"/>
            </c:ext>
          </c:extLst>
        </c:ser>
        <c:ser>
          <c:idx val="5"/>
          <c:order val="4"/>
          <c:tx>
            <c:strRef>
              <c:f>List1!$J$3</c:f>
              <c:strCache>
                <c:ptCount val="1"/>
                <c:pt idx="0">
                  <c:v>silné sucho</c:v>
                </c:pt>
              </c:strCache>
            </c:strRef>
          </c:tx>
          <c:spPr>
            <a:ln w="31750">
              <a:solidFill>
                <a:srgbClr val="FB6A4A"/>
              </a:solidFill>
            </a:ln>
          </c:spPr>
          <c:marker>
            <c:symbol val="none"/>
          </c:marker>
          <c:val>
            <c:numRef>
              <c:f>List1!$J$5:$J$56</c:f>
              <c:numCache>
                <c:formatCode>General</c:formatCode>
                <c:ptCount val="52"/>
                <c:pt idx="0">
                  <c:v>85</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pt idx="31">
                  <c:v>85</c:v>
                </c:pt>
                <c:pt idx="32">
                  <c:v>85</c:v>
                </c:pt>
                <c:pt idx="33">
                  <c:v>85</c:v>
                </c:pt>
                <c:pt idx="34">
                  <c:v>85</c:v>
                </c:pt>
                <c:pt idx="35">
                  <c:v>85</c:v>
                </c:pt>
                <c:pt idx="36">
                  <c:v>85</c:v>
                </c:pt>
                <c:pt idx="37">
                  <c:v>85</c:v>
                </c:pt>
                <c:pt idx="38">
                  <c:v>85</c:v>
                </c:pt>
                <c:pt idx="39">
                  <c:v>85</c:v>
                </c:pt>
                <c:pt idx="40">
                  <c:v>85</c:v>
                </c:pt>
                <c:pt idx="41">
                  <c:v>85</c:v>
                </c:pt>
                <c:pt idx="42">
                  <c:v>85</c:v>
                </c:pt>
                <c:pt idx="43">
                  <c:v>85</c:v>
                </c:pt>
                <c:pt idx="44">
                  <c:v>85</c:v>
                </c:pt>
                <c:pt idx="45">
                  <c:v>85</c:v>
                </c:pt>
                <c:pt idx="46">
                  <c:v>85</c:v>
                </c:pt>
                <c:pt idx="47">
                  <c:v>85</c:v>
                </c:pt>
                <c:pt idx="48">
                  <c:v>85</c:v>
                </c:pt>
                <c:pt idx="49">
                  <c:v>85</c:v>
                </c:pt>
                <c:pt idx="50">
                  <c:v>85</c:v>
                </c:pt>
                <c:pt idx="51">
                  <c:v>85</c:v>
                </c:pt>
              </c:numCache>
            </c:numRef>
          </c:val>
          <c:smooth val="0"/>
          <c:extLst>
            <c:ext xmlns:c16="http://schemas.microsoft.com/office/drawing/2014/chart" uri="{C3380CC4-5D6E-409C-BE32-E72D297353CC}">
              <c16:uniqueId val="{00000004-0F2B-476A-93E7-DF309DF348F5}"/>
            </c:ext>
          </c:extLst>
        </c:ser>
        <c:dLbls>
          <c:showLegendKey val="0"/>
          <c:showVal val="0"/>
          <c:showCatName val="0"/>
          <c:showSerName val="0"/>
          <c:showPercent val="0"/>
          <c:showBubbleSize val="0"/>
        </c:dLbls>
        <c:marker val="1"/>
        <c:smooth val="0"/>
        <c:axId val="45432832"/>
        <c:axId val="45434368"/>
      </c:lineChart>
      <c:catAx>
        <c:axId val="45432832"/>
        <c:scaling>
          <c:orientation val="minMax"/>
        </c:scaling>
        <c:delete val="0"/>
        <c:axPos val="b"/>
        <c:numFmt formatCode="General" sourceLinked="1"/>
        <c:majorTickMark val="none"/>
        <c:minorTickMark val="none"/>
        <c:tickLblPos val="nextTo"/>
        <c:spPr>
          <a:ln w="19050">
            <a:solidFill>
              <a:srgbClr val="14387F"/>
            </a:solidFill>
          </a:ln>
        </c:spPr>
        <c:txPr>
          <a:bodyPr/>
          <a:lstStyle/>
          <a:p>
            <a:pPr>
              <a:defRPr sz="800" baseline="0">
                <a:solidFill>
                  <a:srgbClr val="14387F"/>
                </a:solidFill>
                <a:latin typeface="Arial" panose="020B0604020202020204" pitchFamily="34" charset="0"/>
                <a:cs typeface="Arial" panose="020B0604020202020204" pitchFamily="34" charset="0"/>
              </a:defRPr>
            </a:pPr>
            <a:endParaRPr lang="cs-CZ"/>
          </a:p>
        </c:txPr>
        <c:crossAx val="45434368"/>
        <c:crosses val="max"/>
        <c:auto val="1"/>
        <c:lblAlgn val="ctr"/>
        <c:lblOffset val="100"/>
        <c:noMultiLvlLbl val="0"/>
      </c:catAx>
      <c:valAx>
        <c:axId val="45434368"/>
        <c:scaling>
          <c:orientation val="maxMin"/>
        </c:scaling>
        <c:delete val="0"/>
        <c:axPos val="l"/>
        <c:majorGridlines>
          <c:spPr>
            <a:ln>
              <a:solidFill>
                <a:srgbClr val="00B0F0">
                  <a:alpha val="50000"/>
                </a:srgbClr>
              </a:solidFill>
            </a:ln>
          </c:spPr>
        </c:majorGridlines>
        <c:title>
          <c:tx>
            <c:rich>
              <a:bodyPr rot="-5400000" vert="horz"/>
              <a:lstStyle/>
              <a:p>
                <a:pPr>
                  <a:defRPr>
                    <a:solidFill>
                      <a:srgbClr val="14387F"/>
                    </a:solidFill>
                    <a:latin typeface="Arial" panose="020B0604020202020204" pitchFamily="34" charset="0"/>
                    <a:cs typeface="Arial" panose="020B0604020202020204" pitchFamily="34" charset="0"/>
                  </a:defRPr>
                </a:pPr>
                <a:r>
                  <a:rPr lang="en-US">
                    <a:solidFill>
                      <a:srgbClr val="14387F"/>
                    </a:solidFill>
                    <a:latin typeface="Arial" panose="020B0604020202020204" pitchFamily="34" charset="0"/>
                    <a:cs typeface="Arial" panose="020B0604020202020204" pitchFamily="34" charset="0"/>
                  </a:rPr>
                  <a:t>[</a:t>
                </a:r>
                <a:r>
                  <a:rPr lang="cs-CZ" baseline="0">
                    <a:solidFill>
                      <a:srgbClr val="14387F"/>
                    </a:solidFill>
                    <a:latin typeface="Arial" panose="020B0604020202020204" pitchFamily="34" charset="0"/>
                    <a:cs typeface="Arial" panose="020B0604020202020204" pitchFamily="34" charset="0"/>
                  </a:rPr>
                  <a:t> %</a:t>
                </a:r>
                <a:r>
                  <a:rPr lang="en-US" baseline="0">
                    <a:solidFill>
                      <a:srgbClr val="14387F"/>
                    </a:solidFill>
                    <a:latin typeface="Arial" panose="020B0604020202020204" pitchFamily="34" charset="0"/>
                    <a:cs typeface="Arial" panose="020B0604020202020204" pitchFamily="34" charset="0"/>
                  </a:rPr>
                  <a:t>]</a:t>
                </a:r>
                <a:endParaRPr lang="cs-CZ">
                  <a:solidFill>
                    <a:srgbClr val="14387F"/>
                  </a:solidFill>
                  <a:latin typeface="Arial" panose="020B0604020202020204" pitchFamily="34" charset="0"/>
                  <a:cs typeface="Arial" panose="020B0604020202020204" pitchFamily="34" charset="0"/>
                </a:endParaRPr>
              </a:p>
            </c:rich>
          </c:tx>
          <c:layout>
            <c:manualLayout>
              <c:xMode val="edge"/>
              <c:yMode val="edge"/>
              <c:x val="8.2306378369370499E-3"/>
              <c:y val="0.4121863082031873"/>
            </c:manualLayout>
          </c:layout>
          <c:overlay val="0"/>
          <c:spPr>
            <a:pattFill prst="pct5">
              <a:fgClr>
                <a:sysClr val="window" lastClr="FFFFFF"/>
              </a:fgClr>
              <a:bgClr>
                <a:schemeClr val="bg1"/>
              </a:bgClr>
            </a:pattFill>
          </c:spPr>
        </c:title>
        <c:numFmt formatCode="General" sourceLinked="1"/>
        <c:majorTickMark val="none"/>
        <c:minorTickMark val="none"/>
        <c:tickLblPos val="nextTo"/>
        <c:spPr>
          <a:ln w="19050">
            <a:solidFill>
              <a:srgbClr val="14387F"/>
            </a:solidFill>
          </a:ln>
        </c:spPr>
        <c:txPr>
          <a:bodyPr/>
          <a:lstStyle/>
          <a:p>
            <a:pPr>
              <a:defRPr sz="800" baseline="0">
                <a:solidFill>
                  <a:srgbClr val="14387F"/>
                </a:solidFill>
                <a:latin typeface="Arial" panose="020B0604020202020204" pitchFamily="34" charset="0"/>
                <a:cs typeface="Arial" panose="020B0604020202020204" pitchFamily="34" charset="0"/>
              </a:defRPr>
            </a:pPr>
            <a:endParaRPr lang="cs-CZ"/>
          </a:p>
        </c:txPr>
        <c:crossAx val="45432832"/>
        <c:crosses val="autoZero"/>
        <c:crossBetween val="between"/>
      </c:valAx>
      <c:spPr>
        <a:ln cmpd="sng">
          <a:prstDash val="solid"/>
        </a:ln>
      </c:spPr>
    </c:plotArea>
    <c:legend>
      <c:legendPos val="r"/>
      <c:layout>
        <c:manualLayout>
          <c:xMode val="edge"/>
          <c:yMode val="edge"/>
          <c:x val="5.2063080149121178E-2"/>
          <c:y val="0.88581952117863716"/>
          <c:w val="0.85382790114198692"/>
          <c:h val="9.9447513812154692E-2"/>
        </c:manualLayout>
      </c:layout>
      <c:overlay val="0"/>
      <c:txPr>
        <a:bodyPr/>
        <a:lstStyle/>
        <a:p>
          <a:pPr>
            <a:defRPr baseline="0">
              <a:solidFill>
                <a:srgbClr val="14387F"/>
              </a:solidFill>
              <a:latin typeface="Arial" panose="020B0604020202020204" pitchFamily="34" charset="0"/>
              <a:cs typeface="Arial" panose="020B0604020202020204" pitchFamily="34" charset="0"/>
            </a:defRPr>
          </a:pPr>
          <a:endParaRPr lang="cs-CZ"/>
        </a:p>
      </c:txPr>
    </c:legend>
    <c:plotVisOnly val="1"/>
    <c:dispBlanksAs val="gap"/>
    <c:showDLblsOverMax val="0"/>
  </c:chart>
  <c:spPr>
    <a:ln>
      <a:noFill/>
    </a:ln>
  </c:spPr>
  <c:txPr>
    <a:bodyPr/>
    <a:lstStyle/>
    <a:p>
      <a:pPr>
        <a:defRPr sz="1000" b="0">
          <a:latin typeface="Campton-Book" pitchFamily="50" charset="0"/>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E21D9-3024-4457-A6F8-692826298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CHMU-sablona-tiskova-zprava.dotx</Template>
  <TotalTime>11</TotalTime>
  <Pages>12</Pages>
  <Words>1402</Words>
  <Characters>8277</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MARTINA SOUČKOVÁ, Mgr.</cp:lastModifiedBy>
  <cp:revision>3</cp:revision>
  <cp:lastPrinted>2019-12-11T08:47:00Z</cp:lastPrinted>
  <dcterms:created xsi:type="dcterms:W3CDTF">2020-09-10T06:41:00Z</dcterms:created>
  <dcterms:modified xsi:type="dcterms:W3CDTF">2020-09-10T06:51:00Z</dcterms:modified>
</cp:coreProperties>
</file>